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DE54A" w14:textId="46A6C941" w:rsidR="005818E9" w:rsidRPr="003D4ADD" w:rsidRDefault="00F07B89" w:rsidP="00105ED2">
      <w:pPr>
        <w:jc w:val="both"/>
        <w:rPr>
          <w:rFonts w:ascii="Times New Roman" w:hAnsi="Times New Roman" w:cs="Times New Roman"/>
          <w:sz w:val="28"/>
          <w:szCs w:val="28"/>
        </w:rPr>
      </w:pPr>
      <w:r w:rsidRPr="003D4ADD">
        <w:rPr>
          <w:rFonts w:ascii="Times New Roman" w:hAnsi="Times New Roman" w:cs="Times New Roman"/>
          <w:sz w:val="28"/>
          <w:szCs w:val="28"/>
        </w:rPr>
        <w:t>Application for the release of multicomponent seismometer datasets from L</w:t>
      </w:r>
      <w:r w:rsidR="0057714B">
        <w:rPr>
          <w:rFonts w:ascii="Times New Roman" w:hAnsi="Times New Roman" w:cs="Times New Roman"/>
          <w:sz w:val="28"/>
          <w:szCs w:val="28"/>
        </w:rPr>
        <w:t>LO</w:t>
      </w:r>
      <w:r w:rsidRPr="003D4ADD">
        <w:rPr>
          <w:rFonts w:ascii="Times New Roman" w:hAnsi="Times New Roman" w:cs="Times New Roman"/>
          <w:sz w:val="28"/>
          <w:szCs w:val="28"/>
        </w:rPr>
        <w:t xml:space="preserve"> and L</w:t>
      </w:r>
      <w:r w:rsidR="0057714B">
        <w:rPr>
          <w:rFonts w:ascii="Times New Roman" w:hAnsi="Times New Roman" w:cs="Times New Roman"/>
          <w:sz w:val="28"/>
          <w:szCs w:val="28"/>
        </w:rPr>
        <w:t xml:space="preserve">HO </w:t>
      </w:r>
      <w:r w:rsidRPr="003D4ADD">
        <w:rPr>
          <w:rFonts w:ascii="Times New Roman" w:hAnsi="Times New Roman" w:cs="Times New Roman"/>
          <w:sz w:val="28"/>
          <w:szCs w:val="28"/>
        </w:rPr>
        <w:t xml:space="preserve"> sites </w:t>
      </w:r>
    </w:p>
    <w:p w14:paraId="1ACE7F67" w14:textId="77777777" w:rsidR="00F07B89" w:rsidRPr="003D4ADD" w:rsidRDefault="00F07B89" w:rsidP="00105ED2">
      <w:pPr>
        <w:jc w:val="both"/>
        <w:rPr>
          <w:rFonts w:ascii="Times New Roman" w:hAnsi="Times New Roman" w:cs="Times New Roman"/>
          <w:sz w:val="28"/>
          <w:szCs w:val="28"/>
        </w:rPr>
      </w:pPr>
    </w:p>
    <w:p w14:paraId="0B1ED6DA" w14:textId="39252AE8" w:rsidR="00F07B89" w:rsidRPr="003D4ADD" w:rsidRDefault="00F07B89" w:rsidP="00105ED2">
      <w:pPr>
        <w:ind w:left="1440" w:firstLine="720"/>
        <w:jc w:val="both"/>
        <w:rPr>
          <w:rFonts w:ascii="Times New Roman" w:hAnsi="Times New Roman" w:cs="Times New Roman"/>
          <w:sz w:val="28"/>
          <w:szCs w:val="28"/>
        </w:rPr>
      </w:pPr>
      <w:r w:rsidRPr="003D4ADD">
        <w:rPr>
          <w:rFonts w:ascii="Times New Roman" w:hAnsi="Times New Roman" w:cs="Times New Roman"/>
          <w:sz w:val="28"/>
          <w:szCs w:val="28"/>
        </w:rPr>
        <w:t xml:space="preserve">Babatunde Isaac Rotimi, Joshua B Russell </w:t>
      </w:r>
    </w:p>
    <w:p w14:paraId="6A6E59C8" w14:textId="3B819009" w:rsidR="00504071" w:rsidRPr="003D4ADD" w:rsidRDefault="00012838" w:rsidP="00012838">
      <w:pPr>
        <w:ind w:left="2880"/>
        <w:jc w:val="both"/>
        <w:rPr>
          <w:rFonts w:ascii="Times New Roman" w:hAnsi="Times New Roman" w:cs="Times New Roman"/>
          <w:sz w:val="28"/>
          <w:szCs w:val="28"/>
        </w:rPr>
      </w:pPr>
      <w:r w:rsidRPr="44969AC7">
        <w:rPr>
          <w:rFonts w:ascii="Times New Roman" w:hAnsi="Times New Roman" w:cs="Times New Roman"/>
          <w:sz w:val="28"/>
          <w:szCs w:val="28"/>
        </w:rPr>
        <w:t xml:space="preserve">       </w:t>
      </w:r>
      <w:r w:rsidR="0057714B">
        <w:rPr>
          <w:rFonts w:ascii="Times New Roman" w:hAnsi="Times New Roman" w:cs="Times New Roman"/>
          <w:sz w:val="28"/>
          <w:szCs w:val="28"/>
        </w:rPr>
        <w:t>January 4</w:t>
      </w:r>
      <w:r w:rsidRPr="44969AC7">
        <w:rPr>
          <w:rFonts w:ascii="Times New Roman" w:hAnsi="Times New Roman" w:cs="Times New Roman"/>
          <w:sz w:val="28"/>
          <w:szCs w:val="28"/>
        </w:rPr>
        <w:t>, 2025</w:t>
      </w:r>
    </w:p>
    <w:p w14:paraId="32B9A326" w14:textId="77777777" w:rsidR="00F07B89" w:rsidRPr="003D4ADD" w:rsidRDefault="00F07B89" w:rsidP="00105ED2">
      <w:pPr>
        <w:jc w:val="both"/>
        <w:rPr>
          <w:rFonts w:ascii="Times New Roman" w:hAnsi="Times New Roman" w:cs="Times New Roman"/>
          <w:sz w:val="28"/>
          <w:szCs w:val="28"/>
        </w:rPr>
      </w:pPr>
    </w:p>
    <w:p w14:paraId="00B9A694" w14:textId="1DC78ACE" w:rsidR="005C136E" w:rsidRPr="003D4ADD" w:rsidRDefault="004A5B40" w:rsidP="00105ED2">
      <w:pPr>
        <w:jc w:val="both"/>
        <w:rPr>
          <w:rFonts w:ascii="Times New Roman" w:hAnsi="Times New Roman" w:cs="Times New Roman"/>
          <w:color w:val="000000"/>
          <w:sz w:val="28"/>
          <w:szCs w:val="28"/>
        </w:rPr>
      </w:pPr>
      <w:r w:rsidRPr="003D4ADD">
        <w:rPr>
          <w:rFonts w:ascii="Times New Roman" w:hAnsi="Times New Roman" w:cs="Times New Roman"/>
          <w:color w:val="000000"/>
          <w:sz w:val="28"/>
          <w:szCs w:val="28"/>
        </w:rPr>
        <w:t xml:space="preserve">Site characterization and </w:t>
      </w:r>
      <w:proofErr w:type="spellStart"/>
      <w:r w:rsidRPr="003D4ADD">
        <w:rPr>
          <w:rFonts w:ascii="Times New Roman" w:hAnsi="Times New Roman" w:cs="Times New Roman"/>
          <w:color w:val="000000"/>
          <w:sz w:val="28"/>
          <w:szCs w:val="28"/>
        </w:rPr>
        <w:t>microzonation</w:t>
      </w:r>
      <w:proofErr w:type="spellEnd"/>
      <w:r w:rsidRPr="003D4ADD">
        <w:rPr>
          <w:rFonts w:ascii="Times New Roman" w:hAnsi="Times New Roman" w:cs="Times New Roman"/>
          <w:color w:val="000000"/>
          <w:sz w:val="28"/>
          <w:szCs w:val="28"/>
        </w:rPr>
        <w:t xml:space="preserve"> greatly benefit from the horizontal-to-vertical spectral ratios of microtremors (HVRM), which are widely used to identify a site's dominant frequency. Traditional interpretations of HVRM suggest it reflects either the Rayleigh-wave ellipticity (e.g., </w:t>
      </w:r>
      <w:proofErr w:type="spellStart"/>
      <w:r w:rsidRPr="003D4ADD">
        <w:rPr>
          <w:rFonts w:ascii="Times New Roman" w:hAnsi="Times New Roman" w:cs="Times New Roman"/>
          <w:color w:val="000000"/>
          <w:sz w:val="28"/>
          <w:szCs w:val="28"/>
        </w:rPr>
        <w:t>Horike</w:t>
      </w:r>
      <w:proofErr w:type="spellEnd"/>
      <w:r w:rsidRPr="003D4ADD">
        <w:rPr>
          <w:rFonts w:ascii="Times New Roman" w:hAnsi="Times New Roman" w:cs="Times New Roman"/>
          <w:color w:val="000000"/>
          <w:sz w:val="28"/>
          <w:szCs w:val="28"/>
        </w:rPr>
        <w:t xml:space="preserve">, 1980; </w:t>
      </w:r>
      <w:proofErr w:type="spellStart"/>
      <w:r w:rsidRPr="003D4ADD">
        <w:rPr>
          <w:rFonts w:ascii="Times New Roman" w:hAnsi="Times New Roman" w:cs="Times New Roman"/>
          <w:color w:val="000000"/>
          <w:sz w:val="28"/>
          <w:szCs w:val="28"/>
        </w:rPr>
        <w:t>Lermo</w:t>
      </w:r>
      <w:proofErr w:type="spellEnd"/>
      <w:r w:rsidRPr="003D4ADD">
        <w:rPr>
          <w:rFonts w:ascii="Times New Roman" w:hAnsi="Times New Roman" w:cs="Times New Roman"/>
          <w:color w:val="000000"/>
          <w:sz w:val="28"/>
          <w:szCs w:val="28"/>
        </w:rPr>
        <w:t xml:space="preserve"> and Chávez-García, 1994; Satoh et al., 2001; </w:t>
      </w:r>
      <w:proofErr w:type="spellStart"/>
      <w:r w:rsidRPr="003D4ADD">
        <w:rPr>
          <w:rFonts w:ascii="Times New Roman" w:hAnsi="Times New Roman" w:cs="Times New Roman"/>
          <w:color w:val="000000"/>
          <w:sz w:val="28"/>
          <w:szCs w:val="28"/>
        </w:rPr>
        <w:t>Malischewsky</w:t>
      </w:r>
      <w:proofErr w:type="spellEnd"/>
      <w:r w:rsidRPr="003D4ADD">
        <w:rPr>
          <w:rFonts w:ascii="Times New Roman" w:hAnsi="Times New Roman" w:cs="Times New Roman"/>
          <w:color w:val="000000"/>
          <w:sz w:val="28"/>
          <w:szCs w:val="28"/>
        </w:rPr>
        <w:t xml:space="preserve"> and Scherbaum, 2004) or the direct S-wave amplification in horizontally layered structures (e.g., Nakamura, 1989, 2000; Bonnefoy-Claudet et al., 2008; Herat, 2008). </w:t>
      </w:r>
      <w:r w:rsidR="005C136E" w:rsidRPr="003D4ADD">
        <w:rPr>
          <w:rFonts w:ascii="Times New Roman" w:hAnsi="Times New Roman" w:cs="Times New Roman"/>
          <w:color w:val="000000"/>
          <w:sz w:val="28"/>
          <w:szCs w:val="28"/>
        </w:rPr>
        <w:t xml:space="preserve">While the amplitude of Rayleigh-wave ellipticity in H/V cannot be directly used, the ratio of horizontal to vertical components of surface waves (primarily Rayleigh waves, with contributions from Love waves) has been employed to infer subsurface velocity models and natural frequencies of soil structures. Arai and </w:t>
      </w:r>
      <w:proofErr w:type="spellStart"/>
      <w:r w:rsidR="005C136E" w:rsidRPr="003D4ADD">
        <w:rPr>
          <w:rFonts w:ascii="Times New Roman" w:hAnsi="Times New Roman" w:cs="Times New Roman"/>
          <w:color w:val="000000"/>
          <w:sz w:val="28"/>
          <w:szCs w:val="28"/>
        </w:rPr>
        <w:t>Tokimatsu</w:t>
      </w:r>
      <w:proofErr w:type="spellEnd"/>
      <w:r w:rsidR="005C136E" w:rsidRPr="003D4ADD">
        <w:rPr>
          <w:rFonts w:ascii="Times New Roman" w:hAnsi="Times New Roman" w:cs="Times New Roman"/>
          <w:color w:val="000000"/>
          <w:sz w:val="28"/>
          <w:szCs w:val="28"/>
        </w:rPr>
        <w:t xml:space="preserve"> (2004) developed a method that incorporates the relative contributions of Rayleigh and Love waves to reproduce the HVRM amplitude, considering site-specific environmental factors. Conversely, HVRM can also indicate direct S-wave amplification, which is simple to implement but highly dependent on-site conditions.</w:t>
      </w:r>
    </w:p>
    <w:p w14:paraId="7B71D403" w14:textId="77777777" w:rsidR="00276912" w:rsidRPr="003D4ADD" w:rsidRDefault="00276912" w:rsidP="00105ED2">
      <w:pPr>
        <w:jc w:val="both"/>
        <w:rPr>
          <w:rFonts w:ascii="Times New Roman" w:hAnsi="Times New Roman" w:cs="Times New Roman"/>
          <w:color w:val="000000"/>
          <w:sz w:val="28"/>
          <w:szCs w:val="28"/>
        </w:rPr>
      </w:pPr>
    </w:p>
    <w:p w14:paraId="0F4F513D" w14:textId="55885838" w:rsidR="00276912" w:rsidRPr="003D4ADD" w:rsidRDefault="00276912" w:rsidP="00105ED2">
      <w:pPr>
        <w:jc w:val="both"/>
        <w:rPr>
          <w:rFonts w:ascii="Times New Roman" w:hAnsi="Times New Roman" w:cs="Times New Roman"/>
          <w:color w:val="000000"/>
          <w:sz w:val="28"/>
          <w:szCs w:val="28"/>
        </w:rPr>
      </w:pPr>
      <w:r w:rsidRPr="003D4ADD">
        <w:rPr>
          <w:rFonts w:ascii="Times New Roman" w:hAnsi="Times New Roman" w:cs="Times New Roman"/>
          <w:color w:val="000000"/>
          <w:sz w:val="28"/>
          <w:szCs w:val="28"/>
        </w:rPr>
        <w:t xml:space="preserve">Microtremor, comprising both body and surface waves, is best analyzed using a full-wave approach, such as the diffuse field approximation. This concept, rooted in acoustics and formalized for elasticity by Weaver (1982), has origins in Aki's seminal 1957 work employing ambient seismic noise (ASN) in the spatial autocorrelation (SPAC) method. The diffuse field approximation allows the recovery of Rayleigh wave phase velocity from the short-range cross-correlations of noise in small arrays and their azimuthal averages. ASN provides practical applications for Green’s function recovery via cross-correlations of motions recorded in a diffuse seismic field (e.g., Shapiro et al., 2005; Sabra et al., 2005). The diffuse field assumption has </w:t>
      </w:r>
      <w:r w:rsidRPr="003D4ADD">
        <w:rPr>
          <w:rFonts w:ascii="Times New Roman" w:hAnsi="Times New Roman" w:cs="Times New Roman"/>
          <w:color w:val="000000"/>
          <w:sz w:val="28"/>
          <w:szCs w:val="28"/>
        </w:rPr>
        <w:lastRenderedPageBreak/>
        <w:t xml:space="preserve">been extensively studied (e.g., Weaver and </w:t>
      </w:r>
      <w:proofErr w:type="spellStart"/>
      <w:r w:rsidRPr="003D4ADD">
        <w:rPr>
          <w:rFonts w:ascii="Times New Roman" w:hAnsi="Times New Roman" w:cs="Times New Roman"/>
          <w:color w:val="000000"/>
          <w:sz w:val="28"/>
          <w:szCs w:val="28"/>
        </w:rPr>
        <w:t>Lobkis</w:t>
      </w:r>
      <w:proofErr w:type="spellEnd"/>
      <w:r w:rsidRPr="003D4ADD">
        <w:rPr>
          <w:rFonts w:ascii="Times New Roman" w:hAnsi="Times New Roman" w:cs="Times New Roman"/>
          <w:color w:val="000000"/>
          <w:sz w:val="28"/>
          <w:szCs w:val="28"/>
        </w:rPr>
        <w:t xml:space="preserve">, 2001; Sánchez-Sesma and Campillo, 2006; Sánchez-Sesma et al., 2008) and is associated with conditions such as multiple scattering and earthquake coda waves (e.g., Shapiro et al., 2000; </w:t>
      </w:r>
      <w:proofErr w:type="spellStart"/>
      <w:r w:rsidRPr="003D4ADD">
        <w:rPr>
          <w:rFonts w:ascii="Times New Roman" w:hAnsi="Times New Roman" w:cs="Times New Roman"/>
          <w:color w:val="000000"/>
          <w:sz w:val="28"/>
          <w:szCs w:val="28"/>
        </w:rPr>
        <w:t>Hennino</w:t>
      </w:r>
      <w:proofErr w:type="spellEnd"/>
      <w:r w:rsidRPr="003D4ADD">
        <w:rPr>
          <w:rFonts w:ascii="Times New Roman" w:hAnsi="Times New Roman" w:cs="Times New Roman"/>
          <w:color w:val="000000"/>
          <w:sz w:val="28"/>
          <w:szCs w:val="28"/>
        </w:rPr>
        <w:t xml:space="preserve"> et al., 2001; </w:t>
      </w:r>
      <w:proofErr w:type="spellStart"/>
      <w:r w:rsidRPr="003D4ADD">
        <w:rPr>
          <w:rFonts w:ascii="Times New Roman" w:hAnsi="Times New Roman" w:cs="Times New Roman"/>
          <w:color w:val="000000"/>
          <w:sz w:val="28"/>
          <w:szCs w:val="28"/>
        </w:rPr>
        <w:t>Margerin</w:t>
      </w:r>
      <w:proofErr w:type="spellEnd"/>
      <w:r w:rsidRPr="003D4ADD">
        <w:rPr>
          <w:rFonts w:ascii="Times New Roman" w:hAnsi="Times New Roman" w:cs="Times New Roman"/>
          <w:color w:val="000000"/>
          <w:sz w:val="28"/>
          <w:szCs w:val="28"/>
        </w:rPr>
        <w:t xml:space="preserve">, 2009). Despite critiques (e.g., </w:t>
      </w:r>
      <w:proofErr w:type="spellStart"/>
      <w:r w:rsidRPr="003D4ADD">
        <w:rPr>
          <w:rFonts w:ascii="Times New Roman" w:hAnsi="Times New Roman" w:cs="Times New Roman"/>
          <w:color w:val="000000"/>
          <w:sz w:val="28"/>
          <w:szCs w:val="28"/>
        </w:rPr>
        <w:t>Mulargia</w:t>
      </w:r>
      <w:proofErr w:type="spellEnd"/>
      <w:r w:rsidRPr="003D4ADD">
        <w:rPr>
          <w:rFonts w:ascii="Times New Roman" w:hAnsi="Times New Roman" w:cs="Times New Roman"/>
          <w:color w:val="000000"/>
          <w:sz w:val="28"/>
          <w:szCs w:val="28"/>
        </w:rPr>
        <w:t>, 2012), ASN exhibits significant imaging capabilities. Under the diffuse field assumption, when the source and receiver coincide in position and direction, the directional energy density becomes proportional to the Green’s function's imaginary part (Sánchez-Sesma et al., 2008). This robust theoretical framework underpins the use of microtremor HVSR for estimating the fundamental frequencies of subsurface structures.</w:t>
      </w:r>
    </w:p>
    <w:p w14:paraId="2D09C33B" w14:textId="3B1D47A3" w:rsidR="00F07B89" w:rsidRPr="003D4ADD" w:rsidRDefault="00DE5CD1" w:rsidP="00105ED2">
      <w:pPr>
        <w:jc w:val="both"/>
        <w:rPr>
          <w:rFonts w:ascii="Times New Roman" w:hAnsi="Times New Roman" w:cs="Times New Roman"/>
          <w:sz w:val="28"/>
          <w:szCs w:val="28"/>
        </w:rPr>
      </w:pPr>
      <w:r w:rsidRPr="2349D91F">
        <w:rPr>
          <w:rFonts w:ascii="Times New Roman" w:hAnsi="Times New Roman" w:cs="Times New Roman"/>
          <w:color w:val="000000" w:themeColor="text1"/>
          <w:sz w:val="28"/>
          <w:szCs w:val="28"/>
        </w:rPr>
        <w:t>While there is a standardized approach for estimating a site’s fundamental frequencies, variations in energy densities over time, arising from sensor malfunctions or near-field anthropogenic sources are not always captured effectively. These variations can lead to inconsistencies in the estimated predominant site frequency.</w:t>
      </w:r>
      <w:r w:rsidR="0019180B" w:rsidRPr="2349D91F">
        <w:rPr>
          <w:rFonts w:ascii="Times New Roman" w:hAnsi="Times New Roman" w:cs="Times New Roman"/>
          <w:color w:val="000000" w:themeColor="text1"/>
          <w:sz w:val="28"/>
          <w:szCs w:val="28"/>
        </w:rPr>
        <w:t xml:space="preserve"> </w:t>
      </w:r>
      <w:r w:rsidR="00C64260" w:rsidRPr="2349D91F">
        <w:rPr>
          <w:rFonts w:ascii="Times New Roman" w:hAnsi="Times New Roman" w:cs="Times New Roman"/>
          <w:color w:val="000000" w:themeColor="text1"/>
          <w:sz w:val="28"/>
          <w:szCs w:val="28"/>
        </w:rPr>
        <w:t>We earlier intro</w:t>
      </w:r>
      <w:r w:rsidR="007E5040" w:rsidRPr="2349D91F">
        <w:rPr>
          <w:rFonts w:ascii="Times New Roman" w:hAnsi="Times New Roman" w:cs="Times New Roman"/>
          <w:color w:val="000000" w:themeColor="text1"/>
          <w:sz w:val="28"/>
          <w:szCs w:val="28"/>
        </w:rPr>
        <w:t xml:space="preserve">duced an algorithm </w:t>
      </w:r>
      <w:r w:rsidR="00FC2E5A" w:rsidRPr="2349D91F">
        <w:rPr>
          <w:rFonts w:ascii="Times New Roman" w:hAnsi="Times New Roman" w:cs="Times New Roman"/>
          <w:color w:val="000000" w:themeColor="text1"/>
          <w:sz w:val="28"/>
          <w:szCs w:val="28"/>
        </w:rPr>
        <w:t xml:space="preserve">to improve stability of the amplification factor estimation </w:t>
      </w:r>
      <w:r w:rsidR="00F81074" w:rsidRPr="2349D91F">
        <w:rPr>
          <w:rFonts w:ascii="Times New Roman" w:hAnsi="Times New Roman" w:cs="Times New Roman"/>
          <w:color w:val="000000" w:themeColor="text1"/>
          <w:sz w:val="28"/>
          <w:szCs w:val="28"/>
        </w:rPr>
        <w:t>of</w:t>
      </w:r>
      <w:r w:rsidR="00FC2E5A" w:rsidRPr="2349D91F">
        <w:rPr>
          <w:rFonts w:ascii="Times New Roman" w:hAnsi="Times New Roman" w:cs="Times New Roman"/>
          <w:color w:val="000000" w:themeColor="text1"/>
          <w:sz w:val="28"/>
          <w:szCs w:val="28"/>
        </w:rPr>
        <w:t xml:space="preserve"> the HVSR method</w:t>
      </w:r>
      <w:r w:rsidR="001C454B" w:rsidRPr="2349D91F">
        <w:rPr>
          <w:rFonts w:ascii="Times New Roman" w:hAnsi="Times New Roman" w:cs="Times New Roman"/>
          <w:color w:val="000000" w:themeColor="text1"/>
          <w:sz w:val="28"/>
          <w:szCs w:val="28"/>
        </w:rPr>
        <w:t xml:space="preserve"> by recalculating </w:t>
      </w:r>
      <w:r w:rsidR="000E15C4" w:rsidRPr="2349D91F">
        <w:rPr>
          <w:rFonts w:ascii="Times New Roman" w:hAnsi="Times New Roman" w:cs="Times New Roman"/>
          <w:color w:val="000000" w:themeColor="text1"/>
          <w:sz w:val="28"/>
          <w:szCs w:val="28"/>
        </w:rPr>
        <w:t xml:space="preserve">computed </w:t>
      </w:r>
      <w:r w:rsidR="00D741B4" w:rsidRPr="2349D91F">
        <w:rPr>
          <w:rFonts w:ascii="Times New Roman" w:hAnsi="Times New Roman" w:cs="Times New Roman"/>
          <w:color w:val="000000" w:themeColor="text1"/>
          <w:sz w:val="28"/>
          <w:szCs w:val="28"/>
        </w:rPr>
        <w:t>HVSR under the diffuse field assumption to access</w:t>
      </w:r>
      <w:r w:rsidR="00C129C3" w:rsidRPr="2349D91F">
        <w:rPr>
          <w:rFonts w:ascii="Times New Roman" w:hAnsi="Times New Roman" w:cs="Times New Roman"/>
          <w:color w:val="000000" w:themeColor="text1"/>
          <w:sz w:val="28"/>
          <w:szCs w:val="28"/>
        </w:rPr>
        <w:t xml:space="preserve"> </w:t>
      </w:r>
      <w:r w:rsidR="00D741B4" w:rsidRPr="2349D91F">
        <w:rPr>
          <w:rFonts w:ascii="Times New Roman" w:hAnsi="Times New Roman" w:cs="Times New Roman"/>
          <w:color w:val="000000" w:themeColor="text1"/>
          <w:sz w:val="28"/>
          <w:szCs w:val="28"/>
        </w:rPr>
        <w:t>discrepancies in predominant frequency estimation</w:t>
      </w:r>
      <w:r w:rsidR="00096612" w:rsidRPr="2349D91F">
        <w:rPr>
          <w:rFonts w:ascii="Times New Roman" w:hAnsi="Times New Roman" w:cs="Times New Roman"/>
          <w:color w:val="000000" w:themeColor="text1"/>
          <w:sz w:val="28"/>
          <w:szCs w:val="28"/>
        </w:rPr>
        <w:t xml:space="preserve">. </w:t>
      </w:r>
      <w:r w:rsidR="00C803E9" w:rsidRPr="2349D91F">
        <w:rPr>
          <w:rFonts w:ascii="Times New Roman" w:hAnsi="Times New Roman" w:cs="Times New Roman"/>
          <w:color w:val="000000" w:themeColor="text1"/>
          <w:sz w:val="28"/>
          <w:szCs w:val="28"/>
        </w:rPr>
        <w:t>We applied this algorithm</w:t>
      </w:r>
      <w:r w:rsidR="00D741B4" w:rsidRPr="2349D91F">
        <w:rPr>
          <w:rFonts w:ascii="Times New Roman" w:hAnsi="Times New Roman" w:cs="Times New Roman"/>
          <w:color w:val="000000" w:themeColor="text1"/>
          <w:sz w:val="28"/>
          <w:szCs w:val="28"/>
        </w:rPr>
        <w:t xml:space="preserve"> </w:t>
      </w:r>
      <w:r w:rsidR="00760AE7" w:rsidRPr="2349D91F">
        <w:rPr>
          <w:rFonts w:ascii="Times New Roman" w:hAnsi="Times New Roman" w:cs="Times New Roman"/>
          <w:color w:val="000000" w:themeColor="text1"/>
          <w:sz w:val="28"/>
          <w:szCs w:val="28"/>
        </w:rPr>
        <w:t>to</w:t>
      </w:r>
      <w:r w:rsidR="00D741B4" w:rsidRPr="2349D91F">
        <w:rPr>
          <w:rFonts w:ascii="Times New Roman" w:hAnsi="Times New Roman" w:cs="Times New Roman"/>
          <w:color w:val="000000" w:themeColor="text1"/>
          <w:sz w:val="28"/>
          <w:szCs w:val="28"/>
        </w:rPr>
        <w:t xml:space="preserve"> the </w:t>
      </w:r>
      <w:r w:rsidR="0063705A" w:rsidRPr="2349D91F">
        <w:rPr>
          <w:rFonts w:ascii="Times New Roman" w:hAnsi="Times New Roman" w:cs="Times New Roman"/>
          <w:color w:val="000000" w:themeColor="text1"/>
          <w:sz w:val="28"/>
          <w:szCs w:val="28"/>
        </w:rPr>
        <w:t>LIGO</w:t>
      </w:r>
      <w:r w:rsidR="00AA502C" w:rsidRPr="2349D91F">
        <w:rPr>
          <w:rFonts w:ascii="Times New Roman" w:hAnsi="Times New Roman" w:cs="Times New Roman"/>
          <w:color w:val="000000" w:themeColor="text1"/>
          <w:sz w:val="28"/>
          <w:szCs w:val="28"/>
        </w:rPr>
        <w:t xml:space="preserve"> </w:t>
      </w:r>
      <w:r w:rsidR="00897312" w:rsidRPr="2349D91F">
        <w:rPr>
          <w:rFonts w:ascii="Times New Roman" w:hAnsi="Times New Roman" w:cs="Times New Roman"/>
          <w:color w:val="000000" w:themeColor="text1"/>
          <w:sz w:val="28"/>
          <w:szCs w:val="28"/>
        </w:rPr>
        <w:t>Livingston and Hanford</w:t>
      </w:r>
      <w:r w:rsidR="00533E4C" w:rsidRPr="2349D91F">
        <w:rPr>
          <w:rFonts w:ascii="Times New Roman" w:hAnsi="Times New Roman" w:cs="Times New Roman"/>
          <w:color w:val="000000" w:themeColor="text1"/>
          <w:sz w:val="28"/>
          <w:szCs w:val="28"/>
        </w:rPr>
        <w:t xml:space="preserve"> </w:t>
      </w:r>
      <w:r w:rsidR="0058164C" w:rsidRPr="2349D91F">
        <w:rPr>
          <w:rFonts w:ascii="Times New Roman" w:hAnsi="Times New Roman" w:cs="Times New Roman"/>
          <w:color w:val="000000" w:themeColor="text1"/>
          <w:sz w:val="28"/>
          <w:szCs w:val="28"/>
        </w:rPr>
        <w:t>station</w:t>
      </w:r>
      <w:r w:rsidR="00D741B4" w:rsidRPr="2349D91F">
        <w:rPr>
          <w:rFonts w:ascii="Times New Roman" w:hAnsi="Times New Roman" w:cs="Times New Roman"/>
          <w:color w:val="000000" w:themeColor="text1"/>
          <w:sz w:val="28"/>
          <w:szCs w:val="28"/>
        </w:rPr>
        <w:t xml:space="preserve"> datasets</w:t>
      </w:r>
      <w:r w:rsidR="00EA17C2" w:rsidRPr="2349D91F">
        <w:rPr>
          <w:rFonts w:ascii="Times New Roman" w:hAnsi="Times New Roman" w:cs="Times New Roman"/>
          <w:color w:val="000000" w:themeColor="text1"/>
          <w:sz w:val="28"/>
          <w:szCs w:val="28"/>
        </w:rPr>
        <w:t xml:space="preserve"> to </w:t>
      </w:r>
      <w:r w:rsidR="00867011" w:rsidRPr="2349D91F">
        <w:rPr>
          <w:rFonts w:ascii="Times New Roman" w:hAnsi="Times New Roman" w:cs="Times New Roman"/>
          <w:color w:val="000000" w:themeColor="text1"/>
          <w:sz w:val="28"/>
          <w:szCs w:val="28"/>
        </w:rPr>
        <w:t xml:space="preserve">investigate </w:t>
      </w:r>
      <w:r w:rsidR="00F07A9C" w:rsidRPr="2349D91F">
        <w:rPr>
          <w:rFonts w:ascii="Times New Roman" w:hAnsi="Times New Roman" w:cs="Times New Roman"/>
          <w:color w:val="000000" w:themeColor="text1"/>
          <w:sz w:val="28"/>
          <w:szCs w:val="28"/>
        </w:rPr>
        <w:t>variation</w:t>
      </w:r>
      <w:r w:rsidR="00941B9F" w:rsidRPr="2349D91F">
        <w:rPr>
          <w:rFonts w:ascii="Times New Roman" w:hAnsi="Times New Roman" w:cs="Times New Roman"/>
          <w:color w:val="000000" w:themeColor="text1"/>
          <w:sz w:val="28"/>
          <w:szCs w:val="28"/>
        </w:rPr>
        <w:t>s in the fundament</w:t>
      </w:r>
      <w:r w:rsidR="00C439A7" w:rsidRPr="2349D91F">
        <w:rPr>
          <w:rFonts w:ascii="Times New Roman" w:hAnsi="Times New Roman" w:cs="Times New Roman"/>
          <w:color w:val="000000" w:themeColor="text1"/>
          <w:sz w:val="28"/>
          <w:szCs w:val="28"/>
        </w:rPr>
        <w:t>al</w:t>
      </w:r>
      <w:r w:rsidR="001468A6" w:rsidRPr="2349D91F">
        <w:rPr>
          <w:rFonts w:ascii="Times New Roman" w:hAnsi="Times New Roman" w:cs="Times New Roman"/>
          <w:color w:val="000000" w:themeColor="text1"/>
          <w:sz w:val="28"/>
          <w:szCs w:val="28"/>
        </w:rPr>
        <w:t xml:space="preserve"> frequencies </w:t>
      </w:r>
      <w:r w:rsidR="00766FC3" w:rsidRPr="2349D91F">
        <w:rPr>
          <w:rFonts w:ascii="Times New Roman" w:hAnsi="Times New Roman" w:cs="Times New Roman"/>
          <w:color w:val="000000" w:themeColor="text1"/>
          <w:sz w:val="28"/>
          <w:szCs w:val="28"/>
        </w:rPr>
        <w:t>of both station</w:t>
      </w:r>
      <w:r w:rsidR="00986AB3" w:rsidRPr="2349D91F">
        <w:rPr>
          <w:rFonts w:ascii="Times New Roman" w:hAnsi="Times New Roman" w:cs="Times New Roman"/>
          <w:color w:val="000000" w:themeColor="text1"/>
          <w:sz w:val="28"/>
          <w:szCs w:val="28"/>
        </w:rPr>
        <w:t xml:space="preserve">s </w:t>
      </w:r>
      <w:r w:rsidR="7BBF1E44" w:rsidRPr="2349D91F">
        <w:rPr>
          <w:rFonts w:ascii="Times New Roman" w:hAnsi="Times New Roman" w:cs="Times New Roman"/>
          <w:color w:val="000000" w:themeColor="text1"/>
          <w:sz w:val="28"/>
          <w:szCs w:val="28"/>
        </w:rPr>
        <w:t>throughout</w:t>
      </w:r>
      <w:r w:rsidR="00C4009B" w:rsidRPr="2349D91F">
        <w:rPr>
          <w:rFonts w:ascii="Times New Roman" w:hAnsi="Times New Roman" w:cs="Times New Roman"/>
          <w:color w:val="000000" w:themeColor="text1"/>
          <w:sz w:val="28"/>
          <w:szCs w:val="28"/>
        </w:rPr>
        <w:t xml:space="preserve"> the year</w:t>
      </w:r>
      <w:r w:rsidR="00774EDB" w:rsidRPr="2349D91F">
        <w:rPr>
          <w:rFonts w:ascii="Times New Roman" w:hAnsi="Times New Roman" w:cs="Times New Roman"/>
          <w:color w:val="000000" w:themeColor="text1"/>
          <w:sz w:val="28"/>
          <w:szCs w:val="28"/>
        </w:rPr>
        <w:t xml:space="preserve"> </w:t>
      </w:r>
      <w:r w:rsidR="00147A07" w:rsidRPr="2349D91F">
        <w:rPr>
          <w:rFonts w:ascii="Times New Roman" w:hAnsi="Times New Roman" w:cs="Times New Roman"/>
          <w:color w:val="000000" w:themeColor="text1"/>
          <w:sz w:val="28"/>
          <w:szCs w:val="28"/>
        </w:rPr>
        <w:t xml:space="preserve">and </w:t>
      </w:r>
      <w:r w:rsidR="00175B67" w:rsidRPr="2349D91F">
        <w:rPr>
          <w:rFonts w:ascii="Times New Roman" w:hAnsi="Times New Roman" w:cs="Times New Roman"/>
          <w:color w:val="000000" w:themeColor="text1"/>
          <w:sz w:val="28"/>
          <w:szCs w:val="28"/>
        </w:rPr>
        <w:t xml:space="preserve">found some exciting </w:t>
      </w:r>
      <w:r w:rsidR="007E2053" w:rsidRPr="2349D91F">
        <w:rPr>
          <w:rFonts w:ascii="Times New Roman" w:hAnsi="Times New Roman" w:cs="Times New Roman"/>
          <w:color w:val="000000" w:themeColor="text1"/>
          <w:sz w:val="28"/>
          <w:szCs w:val="28"/>
        </w:rPr>
        <w:t>variations</w:t>
      </w:r>
      <w:r w:rsidR="00B35AE1" w:rsidRPr="2349D91F">
        <w:rPr>
          <w:rFonts w:ascii="Times New Roman" w:hAnsi="Times New Roman" w:cs="Times New Roman"/>
          <w:color w:val="000000" w:themeColor="text1"/>
          <w:sz w:val="28"/>
          <w:szCs w:val="28"/>
        </w:rPr>
        <w:t>.</w:t>
      </w:r>
    </w:p>
    <w:p w14:paraId="474904A1" w14:textId="77777777" w:rsidR="00A27D9A" w:rsidRPr="003D4ADD" w:rsidRDefault="00A27D9A" w:rsidP="00105ED2">
      <w:pPr>
        <w:jc w:val="both"/>
        <w:rPr>
          <w:rFonts w:ascii="Times New Roman" w:hAnsi="Times New Roman" w:cs="Times New Roman"/>
          <w:color w:val="000000"/>
          <w:sz w:val="28"/>
          <w:szCs w:val="28"/>
        </w:rPr>
      </w:pPr>
    </w:p>
    <w:p w14:paraId="4E379D5B" w14:textId="77777777" w:rsidR="00A27D9A" w:rsidRPr="003D4ADD" w:rsidRDefault="00A27D9A" w:rsidP="00105ED2">
      <w:pPr>
        <w:jc w:val="both"/>
        <w:rPr>
          <w:rFonts w:ascii="Times New Roman" w:hAnsi="Times New Roman" w:cs="Times New Roman"/>
          <w:color w:val="000000"/>
          <w:sz w:val="28"/>
          <w:szCs w:val="28"/>
        </w:rPr>
      </w:pPr>
    </w:p>
    <w:p w14:paraId="7D14825F" w14:textId="2DC3E498" w:rsidR="00A27D9A" w:rsidRPr="003D4ADD" w:rsidRDefault="00F604A3" w:rsidP="00105ED2">
      <w:pPr>
        <w:jc w:val="both"/>
        <w:rPr>
          <w:rFonts w:ascii="Times New Roman" w:hAnsi="Times New Roman" w:cs="Times New Roman"/>
          <w:color w:val="000000"/>
          <w:sz w:val="28"/>
          <w:szCs w:val="28"/>
        </w:rPr>
      </w:pPr>
      <w:r w:rsidRPr="003D4ADD">
        <w:rPr>
          <w:rFonts w:ascii="Times New Roman" w:hAnsi="Times New Roman" w:cs="Times New Roman"/>
          <w:noProof/>
          <w:color w:val="000000"/>
          <w:sz w:val="28"/>
          <w:szCs w:val="28"/>
        </w:rPr>
        <w:drawing>
          <wp:inline distT="0" distB="0" distL="0" distR="0" wp14:anchorId="4BCC3F67" wp14:editId="12F47B0D">
            <wp:extent cx="6617335" cy="1868548"/>
            <wp:effectExtent l="0" t="0" r="0" b="0"/>
            <wp:docPr id="630770095" name="Picture 3" descr="A close-up of a colorful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095" name="Picture 3" descr="A close-up of a colorful background&#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6725006" cy="1898951"/>
                    </a:xfrm>
                    <a:prstGeom prst="rect">
                      <a:avLst/>
                    </a:prstGeom>
                  </pic:spPr>
                </pic:pic>
              </a:graphicData>
            </a:graphic>
          </wp:inline>
        </w:drawing>
      </w:r>
    </w:p>
    <w:p w14:paraId="54A1CC51" w14:textId="1C4650AD" w:rsidR="00A27D9A" w:rsidRPr="003D4ADD" w:rsidRDefault="1B444D87" w:rsidP="00105ED2">
      <w:pPr>
        <w:jc w:val="both"/>
        <w:rPr>
          <w:rFonts w:ascii="Times New Roman" w:hAnsi="Times New Roman" w:cs="Times New Roman"/>
          <w:color w:val="000000"/>
          <w:sz w:val="28"/>
          <w:szCs w:val="28"/>
        </w:rPr>
      </w:pPr>
      <w:r w:rsidRPr="2349D91F">
        <w:rPr>
          <w:rFonts w:ascii="Times New Roman" w:hAnsi="Times New Roman" w:cs="Times New Roman"/>
          <w:color w:val="000000" w:themeColor="text1"/>
          <w:sz w:val="28"/>
          <w:szCs w:val="28"/>
        </w:rPr>
        <w:t xml:space="preserve">Figure 1 showing the monthly computed HVSR amplitude variations for LIGO </w:t>
      </w:r>
      <w:r w:rsidR="620A34A8" w:rsidRPr="2349D91F">
        <w:rPr>
          <w:rFonts w:ascii="Times New Roman" w:hAnsi="Times New Roman" w:cs="Times New Roman"/>
          <w:color w:val="000000" w:themeColor="text1"/>
          <w:sz w:val="28"/>
          <w:szCs w:val="28"/>
        </w:rPr>
        <w:t xml:space="preserve">Livingston. Highest amplitudes are </w:t>
      </w:r>
      <w:r w:rsidR="1FE84EB4" w:rsidRPr="2349D91F">
        <w:rPr>
          <w:rFonts w:ascii="Times New Roman" w:hAnsi="Times New Roman" w:cs="Times New Roman"/>
          <w:color w:val="000000" w:themeColor="text1"/>
          <w:sz w:val="28"/>
          <w:szCs w:val="28"/>
        </w:rPr>
        <w:t xml:space="preserve">concentrated at the lower frequencies </w:t>
      </w:r>
      <w:r w:rsidR="034D2FD7" w:rsidRPr="2349D91F">
        <w:rPr>
          <w:rFonts w:ascii="Times New Roman" w:hAnsi="Times New Roman" w:cs="Times New Roman"/>
          <w:color w:val="000000" w:themeColor="text1"/>
          <w:sz w:val="28"/>
          <w:szCs w:val="28"/>
        </w:rPr>
        <w:t xml:space="preserve">with </w:t>
      </w:r>
      <w:r w:rsidR="7D9964D2" w:rsidRPr="2349D91F">
        <w:rPr>
          <w:rFonts w:ascii="Times New Roman" w:hAnsi="Times New Roman" w:cs="Times New Roman"/>
          <w:color w:val="000000" w:themeColor="text1"/>
          <w:sz w:val="28"/>
          <w:szCs w:val="28"/>
        </w:rPr>
        <w:t>higher</w:t>
      </w:r>
      <w:r w:rsidR="034D2FD7" w:rsidRPr="2349D91F">
        <w:rPr>
          <w:rFonts w:ascii="Times New Roman" w:hAnsi="Times New Roman" w:cs="Times New Roman"/>
          <w:color w:val="000000" w:themeColor="text1"/>
          <w:sz w:val="28"/>
          <w:szCs w:val="28"/>
        </w:rPr>
        <w:t xml:space="preserve"> amplitudes in </w:t>
      </w:r>
      <w:r w:rsidR="4D13F3D9" w:rsidRPr="2349D91F">
        <w:rPr>
          <w:rFonts w:ascii="Times New Roman" w:hAnsi="Times New Roman" w:cs="Times New Roman"/>
          <w:color w:val="000000" w:themeColor="text1"/>
          <w:sz w:val="28"/>
          <w:szCs w:val="28"/>
        </w:rPr>
        <w:t>September</w:t>
      </w:r>
      <w:r w:rsidR="034D2FD7" w:rsidRPr="2349D91F">
        <w:rPr>
          <w:rFonts w:ascii="Times New Roman" w:hAnsi="Times New Roman" w:cs="Times New Roman"/>
          <w:color w:val="000000" w:themeColor="text1"/>
          <w:sz w:val="28"/>
          <w:szCs w:val="28"/>
        </w:rPr>
        <w:t xml:space="preserve"> to </w:t>
      </w:r>
      <w:r w:rsidR="7A90428A" w:rsidRPr="2349D91F">
        <w:rPr>
          <w:rFonts w:ascii="Times New Roman" w:hAnsi="Times New Roman" w:cs="Times New Roman"/>
          <w:color w:val="000000" w:themeColor="text1"/>
          <w:sz w:val="28"/>
          <w:szCs w:val="28"/>
        </w:rPr>
        <w:t>October</w:t>
      </w:r>
      <w:r w:rsidR="034D2FD7" w:rsidRPr="2349D91F">
        <w:rPr>
          <w:rFonts w:ascii="Times New Roman" w:hAnsi="Times New Roman" w:cs="Times New Roman"/>
          <w:color w:val="000000" w:themeColor="text1"/>
          <w:sz w:val="28"/>
          <w:szCs w:val="28"/>
        </w:rPr>
        <w:t xml:space="preserve"> in the primary microseism range (0.1-</w:t>
      </w:r>
      <w:r w:rsidR="034D2FD7" w:rsidRPr="2349D91F">
        <w:rPr>
          <w:rFonts w:ascii="Times New Roman" w:hAnsi="Times New Roman" w:cs="Times New Roman"/>
          <w:color w:val="000000" w:themeColor="text1"/>
          <w:sz w:val="28"/>
          <w:szCs w:val="28"/>
        </w:rPr>
        <w:lastRenderedPageBreak/>
        <w:t>0.3Hz)</w:t>
      </w:r>
      <w:r w:rsidR="6357ECE7" w:rsidRPr="2349D91F">
        <w:rPr>
          <w:rFonts w:ascii="Times New Roman" w:hAnsi="Times New Roman" w:cs="Times New Roman"/>
          <w:color w:val="000000" w:themeColor="text1"/>
          <w:sz w:val="28"/>
          <w:szCs w:val="28"/>
        </w:rPr>
        <w:t xml:space="preserve">. There </w:t>
      </w:r>
      <w:r w:rsidR="7C3490E9" w:rsidRPr="2349D91F">
        <w:rPr>
          <w:rFonts w:ascii="Times New Roman" w:hAnsi="Times New Roman" w:cs="Times New Roman"/>
          <w:color w:val="000000" w:themeColor="text1"/>
          <w:sz w:val="28"/>
          <w:szCs w:val="28"/>
        </w:rPr>
        <w:t>are</w:t>
      </w:r>
      <w:r w:rsidR="6357ECE7" w:rsidRPr="2349D91F">
        <w:rPr>
          <w:rFonts w:ascii="Times New Roman" w:hAnsi="Times New Roman" w:cs="Times New Roman"/>
          <w:color w:val="000000" w:themeColor="text1"/>
          <w:sz w:val="28"/>
          <w:szCs w:val="28"/>
        </w:rPr>
        <w:t xml:space="preserve"> also visible weekly and daily variations which can be linked to human and cultural noises around the area.</w:t>
      </w:r>
    </w:p>
    <w:p w14:paraId="45C25BD4" w14:textId="2B0B4005" w:rsidR="00A27D9A" w:rsidRPr="003D4ADD" w:rsidRDefault="00A27D9A" w:rsidP="00105ED2">
      <w:pPr>
        <w:jc w:val="both"/>
        <w:rPr>
          <w:rFonts w:ascii="Times New Roman" w:hAnsi="Times New Roman" w:cs="Times New Roman"/>
          <w:color w:val="000000"/>
          <w:sz w:val="28"/>
          <w:szCs w:val="28"/>
        </w:rPr>
      </w:pPr>
    </w:p>
    <w:p w14:paraId="0E3DDE97" w14:textId="2914B07C" w:rsidR="2349D91F" w:rsidRDefault="2349D91F" w:rsidP="2349D91F">
      <w:pPr>
        <w:jc w:val="both"/>
      </w:pPr>
    </w:p>
    <w:p w14:paraId="26BE078A" w14:textId="40278F66" w:rsidR="2349D91F" w:rsidRDefault="2349D91F" w:rsidP="2349D91F">
      <w:pPr>
        <w:jc w:val="both"/>
      </w:pPr>
    </w:p>
    <w:p w14:paraId="423D951E" w14:textId="2941D8B1" w:rsidR="00A27D9A" w:rsidRPr="003D4ADD" w:rsidRDefault="00B703CA" w:rsidP="00105ED2">
      <w:pPr>
        <w:jc w:val="both"/>
        <w:rPr>
          <w:rFonts w:ascii="Times New Roman" w:hAnsi="Times New Roman" w:cs="Times New Roman"/>
          <w:color w:val="000000"/>
          <w:sz w:val="28"/>
          <w:szCs w:val="28"/>
        </w:rPr>
      </w:pPr>
      <w:r w:rsidRPr="003D4ADD">
        <w:rPr>
          <w:rFonts w:ascii="Times New Roman" w:hAnsi="Times New Roman" w:cs="Times New Roman"/>
          <w:noProof/>
          <w:color w:val="000000"/>
          <w:sz w:val="28"/>
          <w:szCs w:val="28"/>
        </w:rPr>
        <w:drawing>
          <wp:inline distT="0" distB="0" distL="0" distR="0" wp14:anchorId="5E22BF90" wp14:editId="2D48E79B">
            <wp:extent cx="6309069" cy="1781503"/>
            <wp:effectExtent l="0" t="0" r="3175" b="0"/>
            <wp:docPr id="1144738536" name="Picture 5" descr="A close-up of a colorful screen&#10;&#10;AI-generated content may be incorrect.">
              <a:extLst xmlns:a="http://schemas.openxmlformats.org/drawingml/2006/main">
                <a:ext uri="{FF2B5EF4-FFF2-40B4-BE49-F238E27FC236}">
                  <a16:creationId xmlns:a16="http://schemas.microsoft.com/office/drawing/2014/main" id="{B042DA92-9F0E-3E40-AA3C-8CD5B58C6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38536" name="Picture 5" descr="A close-up of a colorful scree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16511" cy="1783604"/>
                    </a:xfrm>
                    <a:prstGeom prst="rect">
                      <a:avLst/>
                    </a:prstGeom>
                  </pic:spPr>
                </pic:pic>
              </a:graphicData>
            </a:graphic>
          </wp:inline>
        </w:drawing>
      </w:r>
    </w:p>
    <w:p w14:paraId="200E73F8" w14:textId="5C2E680A" w:rsidR="5F4809CA" w:rsidRDefault="5F4809CA" w:rsidP="2349D91F">
      <w:pPr>
        <w:jc w:val="both"/>
        <w:rPr>
          <w:rFonts w:ascii="Times New Roman" w:hAnsi="Times New Roman" w:cs="Times New Roman"/>
          <w:color w:val="000000" w:themeColor="text1"/>
          <w:sz w:val="28"/>
          <w:szCs w:val="28"/>
        </w:rPr>
      </w:pPr>
      <w:r w:rsidRPr="0F052161">
        <w:rPr>
          <w:rFonts w:ascii="Times New Roman" w:hAnsi="Times New Roman" w:cs="Times New Roman"/>
          <w:color w:val="000000" w:themeColor="text1"/>
          <w:sz w:val="28"/>
          <w:szCs w:val="28"/>
        </w:rPr>
        <w:t xml:space="preserve">Figure 2 showing </w:t>
      </w:r>
      <w:r w:rsidR="5A3C6282" w:rsidRPr="0F052161">
        <w:rPr>
          <w:rFonts w:ascii="Times New Roman" w:hAnsi="Times New Roman" w:cs="Times New Roman"/>
          <w:color w:val="000000" w:themeColor="text1"/>
          <w:sz w:val="28"/>
          <w:szCs w:val="28"/>
        </w:rPr>
        <w:t xml:space="preserve">monthly computed HVSR amplitude variations for LIGO Hanford. High amplitudes are concentrated both at low frequencies and in the mid–high frequency range (~2–5 Hz and above). In the low-frequency band, the strongest enhancements occur in winter (Dec–Feb) within the primary microseism band (0.1–0.3 Hz), consistent with North Pacific storm activity, with the secondary microseism (0.3–0.6 Hz) also intensifying during this period. In addition, a broad and persistent band of elevated amplitudes is visible at mid–high frequencies, suggesting contributions from local site resonance, continuous anthropogenic sources, or environmental forcing (e.g., wind, infrastructure vibrations). Hanford shows a combination of seasonal low-frequency variability and sustained </w:t>
      </w:r>
      <w:r w:rsidR="2ADB95E2" w:rsidRPr="0F052161">
        <w:rPr>
          <w:rFonts w:ascii="Times New Roman" w:hAnsi="Times New Roman" w:cs="Times New Roman"/>
          <w:color w:val="000000" w:themeColor="text1"/>
          <w:sz w:val="28"/>
          <w:szCs w:val="28"/>
        </w:rPr>
        <w:t>high</w:t>
      </w:r>
      <w:r w:rsidR="5A3C6282" w:rsidRPr="0F052161">
        <w:rPr>
          <w:rFonts w:ascii="Times New Roman" w:hAnsi="Times New Roman" w:cs="Times New Roman"/>
          <w:color w:val="000000" w:themeColor="text1"/>
          <w:sz w:val="28"/>
          <w:szCs w:val="28"/>
        </w:rPr>
        <w:t>-frequency energy, distinguishing it from Livingston, which is more strongly dominated by cultural noise and regional storm bursts.</w:t>
      </w:r>
    </w:p>
    <w:p w14:paraId="0026895F" w14:textId="4346DD08" w:rsidR="0F052161" w:rsidRDefault="0F052161" w:rsidP="0F052161">
      <w:pPr>
        <w:jc w:val="both"/>
        <w:rPr>
          <w:rFonts w:ascii="Times New Roman" w:hAnsi="Times New Roman" w:cs="Times New Roman"/>
          <w:color w:val="000000" w:themeColor="text1"/>
          <w:sz w:val="28"/>
          <w:szCs w:val="28"/>
        </w:rPr>
      </w:pPr>
    </w:p>
    <w:p w14:paraId="1F2CC0C9" w14:textId="685D47A7" w:rsidR="3B747DE6" w:rsidRDefault="3B747DE6" w:rsidP="44969AC7">
      <w:pPr>
        <w:jc w:val="both"/>
        <w:rPr>
          <w:rFonts w:ascii="Times New Roman" w:hAnsi="Times New Roman" w:cs="Times New Roman"/>
          <w:color w:val="000000" w:themeColor="text1"/>
          <w:sz w:val="28"/>
          <w:szCs w:val="28"/>
        </w:rPr>
      </w:pPr>
      <w:r w:rsidRPr="44969AC7">
        <w:rPr>
          <w:rFonts w:ascii="Times New Roman" w:hAnsi="Times New Roman" w:cs="Times New Roman"/>
          <w:color w:val="000000" w:themeColor="text1"/>
          <w:sz w:val="28"/>
          <w:szCs w:val="28"/>
        </w:rPr>
        <w:t xml:space="preserve">Sequel to </w:t>
      </w:r>
      <w:r w:rsidR="00D300DB" w:rsidRPr="44969AC7">
        <w:rPr>
          <w:rFonts w:ascii="Times New Roman" w:hAnsi="Times New Roman" w:cs="Times New Roman"/>
          <w:color w:val="000000" w:themeColor="text1"/>
          <w:sz w:val="28"/>
          <w:szCs w:val="28"/>
        </w:rPr>
        <w:t>these two observations</w:t>
      </w:r>
      <w:r w:rsidRPr="44969AC7">
        <w:rPr>
          <w:rFonts w:ascii="Times New Roman" w:hAnsi="Times New Roman" w:cs="Times New Roman"/>
          <w:color w:val="000000" w:themeColor="text1"/>
          <w:sz w:val="28"/>
          <w:szCs w:val="28"/>
        </w:rPr>
        <w:t>, w</w:t>
      </w:r>
      <w:r w:rsidR="003E6E44" w:rsidRPr="44969AC7">
        <w:rPr>
          <w:rFonts w:ascii="Times New Roman" w:hAnsi="Times New Roman" w:cs="Times New Roman"/>
          <w:color w:val="000000" w:themeColor="text1"/>
          <w:sz w:val="28"/>
          <w:szCs w:val="28"/>
        </w:rPr>
        <w:t xml:space="preserve">e </w:t>
      </w:r>
      <w:r w:rsidR="00206B95" w:rsidRPr="44969AC7">
        <w:rPr>
          <w:rFonts w:ascii="Times New Roman" w:hAnsi="Times New Roman" w:cs="Times New Roman"/>
          <w:color w:val="000000" w:themeColor="text1"/>
          <w:sz w:val="28"/>
          <w:szCs w:val="28"/>
        </w:rPr>
        <w:t xml:space="preserve">are </w:t>
      </w:r>
      <w:r w:rsidR="00B35AE1" w:rsidRPr="44969AC7">
        <w:rPr>
          <w:rFonts w:ascii="Times New Roman" w:hAnsi="Times New Roman" w:cs="Times New Roman"/>
          <w:color w:val="000000" w:themeColor="text1"/>
          <w:sz w:val="28"/>
          <w:szCs w:val="28"/>
        </w:rPr>
        <w:t>requesting</w:t>
      </w:r>
      <w:r w:rsidR="00206B95" w:rsidRPr="44969AC7">
        <w:rPr>
          <w:rFonts w:ascii="Times New Roman" w:hAnsi="Times New Roman" w:cs="Times New Roman"/>
          <w:color w:val="000000" w:themeColor="text1"/>
          <w:sz w:val="28"/>
          <w:szCs w:val="28"/>
        </w:rPr>
        <w:t xml:space="preserve"> </w:t>
      </w:r>
      <w:r w:rsidR="003A4ACA" w:rsidRPr="44969AC7">
        <w:rPr>
          <w:rFonts w:ascii="Times New Roman" w:hAnsi="Times New Roman" w:cs="Times New Roman"/>
          <w:color w:val="000000" w:themeColor="text1"/>
          <w:sz w:val="28"/>
          <w:szCs w:val="28"/>
        </w:rPr>
        <w:t>full seismic data</w:t>
      </w:r>
      <w:r w:rsidR="2F2065B7" w:rsidRPr="44969AC7">
        <w:rPr>
          <w:rFonts w:ascii="Times New Roman" w:hAnsi="Times New Roman" w:cs="Times New Roman"/>
          <w:color w:val="000000" w:themeColor="text1"/>
          <w:sz w:val="28"/>
          <w:szCs w:val="28"/>
        </w:rPr>
        <w:t>sets</w:t>
      </w:r>
      <w:r w:rsidR="003A4ACA" w:rsidRPr="44969AC7">
        <w:rPr>
          <w:rFonts w:ascii="Times New Roman" w:hAnsi="Times New Roman" w:cs="Times New Roman"/>
          <w:color w:val="000000" w:themeColor="text1"/>
          <w:sz w:val="28"/>
          <w:szCs w:val="28"/>
        </w:rPr>
        <w:t xml:space="preserve"> within the LIGO </w:t>
      </w:r>
      <w:r w:rsidR="000B64F9" w:rsidRPr="44969AC7">
        <w:rPr>
          <w:rFonts w:ascii="Times New Roman" w:hAnsi="Times New Roman" w:cs="Times New Roman"/>
          <w:color w:val="000000" w:themeColor="text1"/>
          <w:sz w:val="28"/>
          <w:szCs w:val="28"/>
        </w:rPr>
        <w:t xml:space="preserve">arms </w:t>
      </w:r>
      <w:r w:rsidR="009B4C52" w:rsidRPr="44969AC7">
        <w:rPr>
          <w:rFonts w:ascii="Times New Roman" w:hAnsi="Times New Roman" w:cs="Times New Roman"/>
          <w:color w:val="000000" w:themeColor="text1"/>
          <w:sz w:val="28"/>
          <w:szCs w:val="28"/>
        </w:rPr>
        <w:t xml:space="preserve">at all axes </w:t>
      </w:r>
      <w:r w:rsidR="622265F9" w:rsidRPr="44969AC7">
        <w:rPr>
          <w:rFonts w:ascii="Times New Roman" w:hAnsi="Times New Roman" w:cs="Times New Roman"/>
          <w:color w:val="000000" w:themeColor="text1"/>
          <w:sz w:val="28"/>
          <w:szCs w:val="28"/>
        </w:rPr>
        <w:t>during the 04 observing run</w:t>
      </w:r>
      <w:r w:rsidR="00FE5A5C" w:rsidRPr="44969AC7">
        <w:rPr>
          <w:rFonts w:ascii="Times New Roman" w:hAnsi="Times New Roman" w:cs="Times New Roman"/>
          <w:color w:val="000000" w:themeColor="text1"/>
          <w:sz w:val="28"/>
          <w:szCs w:val="28"/>
        </w:rPr>
        <w:t xml:space="preserve">, so we can process these datasets </w:t>
      </w:r>
      <w:r w:rsidR="00D23FD7" w:rsidRPr="44969AC7">
        <w:rPr>
          <w:rFonts w:ascii="Times New Roman" w:hAnsi="Times New Roman" w:cs="Times New Roman"/>
          <w:color w:val="000000" w:themeColor="text1"/>
          <w:sz w:val="28"/>
          <w:szCs w:val="28"/>
        </w:rPr>
        <w:t>using the same approach</w:t>
      </w:r>
      <w:r w:rsidR="00D43FC2" w:rsidRPr="44969AC7">
        <w:rPr>
          <w:rFonts w:ascii="Times New Roman" w:hAnsi="Times New Roman" w:cs="Times New Roman"/>
          <w:color w:val="000000" w:themeColor="text1"/>
          <w:sz w:val="28"/>
          <w:szCs w:val="28"/>
        </w:rPr>
        <w:t xml:space="preserve"> to study</w:t>
      </w:r>
      <w:r w:rsidR="77AA8B98" w:rsidRPr="44969AC7">
        <w:rPr>
          <w:rFonts w:ascii="Times New Roman" w:hAnsi="Times New Roman" w:cs="Times New Roman"/>
          <w:color w:val="000000" w:themeColor="text1"/>
          <w:sz w:val="28"/>
          <w:szCs w:val="28"/>
        </w:rPr>
        <w:t xml:space="preserve"> and compare</w:t>
      </w:r>
      <w:r w:rsidR="00D43FC2" w:rsidRPr="44969AC7">
        <w:rPr>
          <w:rFonts w:ascii="Times New Roman" w:hAnsi="Times New Roman" w:cs="Times New Roman"/>
          <w:color w:val="000000" w:themeColor="text1"/>
          <w:sz w:val="28"/>
          <w:szCs w:val="28"/>
        </w:rPr>
        <w:t xml:space="preserve"> the variations between stations inside the </w:t>
      </w:r>
      <w:r w:rsidR="00746A7C" w:rsidRPr="44969AC7">
        <w:rPr>
          <w:rFonts w:ascii="Times New Roman" w:hAnsi="Times New Roman" w:cs="Times New Roman"/>
          <w:color w:val="000000" w:themeColor="text1"/>
          <w:sz w:val="28"/>
          <w:szCs w:val="28"/>
        </w:rPr>
        <w:t xml:space="preserve">observatories and those </w:t>
      </w:r>
      <w:r w:rsidR="004314B4" w:rsidRPr="44969AC7">
        <w:rPr>
          <w:rFonts w:ascii="Times New Roman" w:hAnsi="Times New Roman" w:cs="Times New Roman"/>
          <w:color w:val="000000" w:themeColor="text1"/>
          <w:sz w:val="28"/>
          <w:szCs w:val="28"/>
        </w:rPr>
        <w:t>installed outside the observatories</w:t>
      </w:r>
      <w:r w:rsidR="304E10D0" w:rsidRPr="44969AC7">
        <w:rPr>
          <w:rFonts w:ascii="Times New Roman" w:hAnsi="Times New Roman" w:cs="Times New Roman"/>
          <w:color w:val="000000" w:themeColor="text1"/>
          <w:sz w:val="28"/>
          <w:szCs w:val="28"/>
        </w:rPr>
        <w:t>.</w:t>
      </w:r>
      <w:r w:rsidR="008513D6" w:rsidRPr="44969AC7">
        <w:rPr>
          <w:rFonts w:ascii="Times New Roman" w:hAnsi="Times New Roman" w:cs="Times New Roman"/>
          <w:color w:val="000000" w:themeColor="text1"/>
          <w:sz w:val="28"/>
          <w:szCs w:val="28"/>
        </w:rPr>
        <w:t xml:space="preserve"> We are broadly interested in the effect of seasonal variations and noise from anthropogenic sources, </w:t>
      </w:r>
      <w:r w:rsidR="008513D6" w:rsidRPr="44969AC7">
        <w:rPr>
          <w:rFonts w:ascii="Times New Roman" w:hAnsi="Times New Roman" w:cs="Times New Roman"/>
          <w:color w:val="000000" w:themeColor="text1"/>
          <w:sz w:val="28"/>
          <w:szCs w:val="28"/>
        </w:rPr>
        <w:lastRenderedPageBreak/>
        <w:t>and how these affect the efficiency of the observatories (mirror?)</w:t>
      </w:r>
      <w:r w:rsidR="002531D0" w:rsidRPr="44969AC7">
        <w:rPr>
          <w:rFonts w:ascii="Times New Roman" w:hAnsi="Times New Roman" w:cs="Times New Roman"/>
          <w:color w:val="000000" w:themeColor="text1"/>
          <w:sz w:val="28"/>
          <w:szCs w:val="28"/>
        </w:rPr>
        <w:t>. The</w:t>
      </w:r>
      <w:r w:rsidR="2CC8F791" w:rsidRPr="44969AC7">
        <w:rPr>
          <w:rFonts w:ascii="Times New Roman" w:hAnsi="Times New Roman" w:cs="Times New Roman"/>
          <w:color w:val="000000" w:themeColor="text1"/>
          <w:sz w:val="28"/>
          <w:szCs w:val="28"/>
        </w:rPr>
        <w:t xml:space="preserve"> requested channels are in the form</w:t>
      </w:r>
      <w:r w:rsidR="2E40F287" w:rsidRPr="44969AC7">
        <w:rPr>
          <w:rFonts w:ascii="Times New Roman" w:hAnsi="Times New Roman" w:cs="Times New Roman"/>
          <w:color w:val="000000" w:themeColor="text1"/>
          <w:sz w:val="28"/>
          <w:szCs w:val="28"/>
        </w:rPr>
        <w:t>;</w:t>
      </w:r>
      <w:r w:rsidR="2CC8F791" w:rsidRPr="44969AC7">
        <w:rPr>
          <w:rFonts w:ascii="Times New Roman" w:hAnsi="Times New Roman" w:cs="Times New Roman"/>
          <w:color w:val="000000" w:themeColor="text1"/>
          <w:sz w:val="28"/>
          <w:szCs w:val="28"/>
        </w:rPr>
        <w:t xml:space="preserve"> </w:t>
      </w:r>
    </w:p>
    <w:p w14:paraId="232A9A5E" w14:textId="30A058B4"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For LHO</w:t>
      </w:r>
    </w:p>
    <w:p w14:paraId="3470CDE8"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H1:PEM-EY_SEIS_VEA_FLOOR_(X,Y,Z)_DQ  256</w:t>
      </w:r>
    </w:p>
    <w:p w14:paraId="66981B3D"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7459EAD1"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H1:PEM-CS_SEIS_LVEA_VERTEX_(X,Y,Z)_DQ 256</w:t>
      </w:r>
    </w:p>
    <w:p w14:paraId="38925733"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6128225B"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H1:PEM-EX_SEIS_VEA_FLOOR_(X,Y,Z)_DQ 256</w:t>
      </w:r>
    </w:p>
    <w:p w14:paraId="5BBAED4D"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2D2E808F"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H1:PEM-VAULT_SEIS_1030X195Y_STS2_(X,Y,Z)_DQ 256</w:t>
      </w:r>
    </w:p>
    <w:p w14:paraId="6C06C2C4"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5A6ACAB8"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H1:PEM-MX_SEIS_VEA_FLOOR_X_DQ 256</w:t>
      </w:r>
    </w:p>
    <w:p w14:paraId="4DEFD5E0"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04ECD4D6"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H1:PEM-MX_SEIS_VEA_FLOOR_Y_DQ 256</w:t>
      </w:r>
    </w:p>
    <w:p w14:paraId="0CADBCC9"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0030107D"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H1:PEM-MX_SEIS_VEA_FLOOR_Z_DQ 256</w:t>
      </w:r>
    </w:p>
    <w:p w14:paraId="4EF537FE"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3071E80A"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H1:PEM-MY_SEIS_VEA_FLOOR_X_DQ 256</w:t>
      </w:r>
    </w:p>
    <w:p w14:paraId="1CDF848D"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45ECE28C"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H1:PEM-MY_SEIS_VEA_FLOOR_Y_DQ 256</w:t>
      </w:r>
    </w:p>
    <w:p w14:paraId="2BBC0015"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665BFCB2"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H1:PEM-MY_SEIS_VEA_FLOOR_Z_DQ 256</w:t>
      </w:r>
    </w:p>
    <w:p w14:paraId="71FA150C"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22066C24"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For LLO</w:t>
      </w:r>
    </w:p>
    <w:p w14:paraId="6B6F6170"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2AFA0704"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L1:PEM-EY_SEIS_VEA_FLOOR_Z (X,Y,Z) 256</w:t>
      </w:r>
    </w:p>
    <w:p w14:paraId="54EBEB8F"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79B8B53F" w14:textId="77777777" w:rsidR="00133BE2" w:rsidRP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lastRenderedPageBreak/>
        <w:t>L1:PEM-CS_SEIS_LVEA_VERTEX_Z (X,Y,Z) 256</w:t>
      </w:r>
    </w:p>
    <w:p w14:paraId="3E0E2C18" w14:textId="77777777" w:rsidR="00133BE2" w:rsidRPr="00133BE2" w:rsidRDefault="00133BE2" w:rsidP="00133BE2">
      <w:pPr>
        <w:spacing w:line="240" w:lineRule="auto"/>
        <w:jc w:val="both"/>
        <w:rPr>
          <w:rFonts w:ascii="Times New Roman" w:eastAsia="Times New Roman" w:hAnsi="Times New Roman" w:cs="Times New Roman"/>
          <w:sz w:val="28"/>
          <w:szCs w:val="28"/>
        </w:rPr>
      </w:pPr>
    </w:p>
    <w:p w14:paraId="50428A0F" w14:textId="77777777" w:rsidR="00133BE2" w:rsidRDefault="00133BE2" w:rsidP="00133BE2">
      <w:pPr>
        <w:spacing w:line="240" w:lineRule="auto"/>
        <w:jc w:val="both"/>
        <w:rPr>
          <w:rFonts w:ascii="Times New Roman" w:eastAsia="Times New Roman" w:hAnsi="Times New Roman" w:cs="Times New Roman"/>
          <w:sz w:val="28"/>
          <w:szCs w:val="28"/>
        </w:rPr>
      </w:pPr>
      <w:r w:rsidRPr="00133BE2">
        <w:rPr>
          <w:rFonts w:ascii="Times New Roman" w:eastAsia="Times New Roman" w:hAnsi="Times New Roman" w:cs="Times New Roman"/>
          <w:sz w:val="28"/>
          <w:szCs w:val="28"/>
        </w:rPr>
        <w:t>L1:PEM-EX_SEIS_VEA_FLOOR_Z (X,Y,Z) 256</w:t>
      </w:r>
      <w:r>
        <w:rPr>
          <w:rFonts w:ascii="Times New Roman" w:eastAsia="Times New Roman" w:hAnsi="Times New Roman" w:cs="Times New Roman"/>
          <w:sz w:val="28"/>
          <w:szCs w:val="28"/>
        </w:rPr>
        <w:t xml:space="preserve"> </w:t>
      </w:r>
    </w:p>
    <w:p w14:paraId="4AC01125" w14:textId="77777777" w:rsidR="00133BE2" w:rsidRDefault="00133BE2" w:rsidP="00133BE2">
      <w:pPr>
        <w:jc w:val="both"/>
        <w:rPr>
          <w:rFonts w:ascii="Times New Roman" w:eastAsia="Times New Roman" w:hAnsi="Times New Roman" w:cs="Times New Roman"/>
          <w:sz w:val="28"/>
          <w:szCs w:val="28"/>
        </w:rPr>
      </w:pPr>
    </w:p>
    <w:p w14:paraId="798B254F" w14:textId="23B7518B" w:rsidR="4CFD02E4" w:rsidRDefault="4CFD02E4" w:rsidP="00133BE2">
      <w:pPr>
        <w:jc w:val="both"/>
        <w:rPr>
          <w:rFonts w:ascii="Times New Roman" w:hAnsi="Times New Roman" w:cs="Times New Roman"/>
          <w:color w:val="000000" w:themeColor="text1"/>
          <w:sz w:val="28"/>
          <w:szCs w:val="28"/>
        </w:rPr>
      </w:pPr>
      <w:r w:rsidRPr="44969AC7">
        <w:rPr>
          <w:rFonts w:ascii="Times New Roman" w:hAnsi="Times New Roman" w:cs="Times New Roman"/>
          <w:color w:val="000000" w:themeColor="text1"/>
          <w:sz w:val="28"/>
          <w:szCs w:val="28"/>
        </w:rPr>
        <w:t xml:space="preserve">We hope </w:t>
      </w:r>
      <w:r w:rsidR="1D646C71" w:rsidRPr="44969AC7">
        <w:rPr>
          <w:rFonts w:ascii="Times New Roman" w:hAnsi="Times New Roman" w:cs="Times New Roman"/>
          <w:color w:val="000000" w:themeColor="text1"/>
          <w:sz w:val="28"/>
          <w:szCs w:val="28"/>
        </w:rPr>
        <w:t>that by processing and analyzing these datasets, It will help inform the</w:t>
      </w:r>
      <w:r w:rsidR="44969AC7" w:rsidRPr="44969AC7">
        <w:rPr>
          <w:rFonts w:ascii="Times New Roman" w:hAnsi="Times New Roman" w:cs="Times New Roman"/>
          <w:color w:val="000000" w:themeColor="text1"/>
          <w:sz w:val="28"/>
          <w:szCs w:val="28"/>
        </w:rPr>
        <w:t xml:space="preserve"> site </w:t>
      </w:r>
      <w:r w:rsidRPr="44969AC7">
        <w:rPr>
          <w:rFonts w:ascii="Times New Roman" w:hAnsi="Times New Roman" w:cs="Times New Roman"/>
          <w:color w:val="000000" w:themeColor="text1"/>
          <w:sz w:val="28"/>
          <w:szCs w:val="28"/>
        </w:rPr>
        <w:t>selection process for the cosmic explorer.</w:t>
      </w:r>
    </w:p>
    <w:p w14:paraId="0BBD1276" w14:textId="6EC47235" w:rsidR="44969AC7" w:rsidRDefault="44969AC7" w:rsidP="44969AC7">
      <w:pPr>
        <w:jc w:val="both"/>
        <w:rPr>
          <w:rFonts w:ascii="Times New Roman" w:hAnsi="Times New Roman" w:cs="Times New Roman"/>
          <w:color w:val="000000" w:themeColor="text1"/>
          <w:sz w:val="28"/>
          <w:szCs w:val="28"/>
        </w:rPr>
      </w:pPr>
    </w:p>
    <w:p w14:paraId="001EB268" w14:textId="00657F7F" w:rsidR="009F7A91" w:rsidRPr="003D4ADD" w:rsidRDefault="2CC8F791" w:rsidP="00105ED2">
      <w:pPr>
        <w:jc w:val="both"/>
        <w:rPr>
          <w:rFonts w:ascii="Times New Roman" w:hAnsi="Times New Roman" w:cs="Times New Roman"/>
          <w:sz w:val="28"/>
          <w:szCs w:val="28"/>
        </w:rPr>
      </w:pPr>
      <w:r w:rsidRPr="0F052161">
        <w:rPr>
          <w:rFonts w:ascii="Times New Roman" w:hAnsi="Times New Roman" w:cs="Times New Roman"/>
          <w:sz w:val="28"/>
          <w:szCs w:val="28"/>
        </w:rPr>
        <w:t xml:space="preserve"> </w:t>
      </w:r>
    </w:p>
    <w:p w14:paraId="35F94530" w14:textId="36052433" w:rsidR="009F7A91" w:rsidRPr="003D4ADD" w:rsidRDefault="009F7A91" w:rsidP="00105ED2">
      <w:pPr>
        <w:jc w:val="both"/>
        <w:rPr>
          <w:rFonts w:ascii="Times New Roman" w:hAnsi="Times New Roman" w:cs="Times New Roman"/>
          <w:sz w:val="28"/>
          <w:szCs w:val="28"/>
        </w:rPr>
      </w:pPr>
    </w:p>
    <w:p w14:paraId="36813264" w14:textId="34AEEE50" w:rsidR="00F07B89" w:rsidRPr="003D4ADD" w:rsidRDefault="00F07B89" w:rsidP="00105ED2">
      <w:pPr>
        <w:jc w:val="both"/>
        <w:rPr>
          <w:rFonts w:ascii="Times New Roman" w:hAnsi="Times New Roman" w:cs="Times New Roman"/>
          <w:sz w:val="28"/>
          <w:szCs w:val="28"/>
        </w:rPr>
      </w:pPr>
    </w:p>
    <w:p w14:paraId="047EB417" w14:textId="77777777" w:rsidR="00F07B89" w:rsidRPr="003D4ADD" w:rsidRDefault="00F07B89" w:rsidP="00105ED2">
      <w:pPr>
        <w:jc w:val="both"/>
        <w:rPr>
          <w:rFonts w:ascii="Times New Roman" w:hAnsi="Times New Roman" w:cs="Times New Roman"/>
          <w:sz w:val="28"/>
          <w:szCs w:val="28"/>
        </w:rPr>
      </w:pPr>
    </w:p>
    <w:p w14:paraId="10B723E1" w14:textId="21505D89" w:rsidR="2349D91F" w:rsidRDefault="2349D91F" w:rsidP="2349D91F">
      <w:pPr>
        <w:ind w:left="2880" w:firstLine="720"/>
        <w:jc w:val="both"/>
        <w:rPr>
          <w:rFonts w:ascii="Times New Roman" w:hAnsi="Times New Roman" w:cs="Times New Roman"/>
          <w:sz w:val="28"/>
          <w:szCs w:val="28"/>
        </w:rPr>
      </w:pPr>
    </w:p>
    <w:p w14:paraId="0202C526" w14:textId="1C9CF42B" w:rsidR="0F052161" w:rsidRDefault="0F052161" w:rsidP="0F052161">
      <w:pPr>
        <w:ind w:left="2880" w:firstLine="720"/>
        <w:jc w:val="both"/>
        <w:rPr>
          <w:rFonts w:ascii="Times New Roman" w:hAnsi="Times New Roman" w:cs="Times New Roman"/>
          <w:sz w:val="28"/>
          <w:szCs w:val="28"/>
        </w:rPr>
      </w:pPr>
    </w:p>
    <w:p w14:paraId="14B857A0" w14:textId="1D21DA00" w:rsidR="0F052161" w:rsidRDefault="0F052161" w:rsidP="0F052161">
      <w:pPr>
        <w:ind w:left="2880" w:firstLine="720"/>
        <w:jc w:val="both"/>
        <w:rPr>
          <w:rFonts w:ascii="Times New Roman" w:hAnsi="Times New Roman" w:cs="Times New Roman"/>
          <w:sz w:val="28"/>
          <w:szCs w:val="28"/>
        </w:rPr>
      </w:pPr>
    </w:p>
    <w:p w14:paraId="0DEF75EC" w14:textId="03EA6F3B" w:rsidR="0F052161" w:rsidRDefault="0F052161" w:rsidP="0F052161">
      <w:pPr>
        <w:ind w:left="2880" w:firstLine="720"/>
        <w:jc w:val="both"/>
        <w:rPr>
          <w:rFonts w:ascii="Times New Roman" w:hAnsi="Times New Roman" w:cs="Times New Roman"/>
          <w:sz w:val="28"/>
          <w:szCs w:val="28"/>
        </w:rPr>
      </w:pPr>
    </w:p>
    <w:p w14:paraId="0A5C07E1" w14:textId="22B0AA8E" w:rsidR="0F052161" w:rsidRDefault="0F052161" w:rsidP="0F052161">
      <w:pPr>
        <w:ind w:left="2880" w:firstLine="720"/>
        <w:jc w:val="both"/>
        <w:rPr>
          <w:rFonts w:ascii="Times New Roman" w:hAnsi="Times New Roman" w:cs="Times New Roman"/>
          <w:sz w:val="28"/>
          <w:szCs w:val="28"/>
        </w:rPr>
      </w:pPr>
    </w:p>
    <w:p w14:paraId="6ED21597" w14:textId="43B1CAD6" w:rsidR="0F052161" w:rsidRDefault="0F052161" w:rsidP="0F052161">
      <w:pPr>
        <w:ind w:left="2880" w:firstLine="720"/>
        <w:jc w:val="both"/>
        <w:rPr>
          <w:rFonts w:ascii="Times New Roman" w:hAnsi="Times New Roman" w:cs="Times New Roman"/>
          <w:sz w:val="28"/>
          <w:szCs w:val="28"/>
        </w:rPr>
      </w:pPr>
    </w:p>
    <w:p w14:paraId="7ED3B15C" w14:textId="247FD316" w:rsidR="0F052161" w:rsidRDefault="0F052161" w:rsidP="0F052161">
      <w:pPr>
        <w:ind w:left="2880" w:firstLine="720"/>
        <w:jc w:val="both"/>
        <w:rPr>
          <w:rFonts w:ascii="Times New Roman" w:hAnsi="Times New Roman" w:cs="Times New Roman"/>
          <w:sz w:val="28"/>
          <w:szCs w:val="28"/>
        </w:rPr>
      </w:pPr>
    </w:p>
    <w:p w14:paraId="6B0A820B" w14:textId="158D6F85" w:rsidR="0F052161" w:rsidRDefault="0F052161" w:rsidP="0F052161">
      <w:pPr>
        <w:ind w:left="2880" w:firstLine="720"/>
        <w:jc w:val="both"/>
        <w:rPr>
          <w:rFonts w:ascii="Times New Roman" w:hAnsi="Times New Roman" w:cs="Times New Roman"/>
          <w:sz w:val="28"/>
          <w:szCs w:val="28"/>
        </w:rPr>
      </w:pPr>
    </w:p>
    <w:p w14:paraId="23E3AF0E" w14:textId="05B974DD" w:rsidR="0F052161" w:rsidRDefault="0F052161" w:rsidP="0F052161">
      <w:pPr>
        <w:ind w:left="2880" w:firstLine="720"/>
        <w:jc w:val="both"/>
        <w:rPr>
          <w:rFonts w:ascii="Times New Roman" w:hAnsi="Times New Roman" w:cs="Times New Roman"/>
          <w:sz w:val="28"/>
          <w:szCs w:val="28"/>
        </w:rPr>
      </w:pPr>
    </w:p>
    <w:p w14:paraId="7F2BBB4D" w14:textId="41618595" w:rsidR="0F052161" w:rsidRDefault="0F052161" w:rsidP="0F052161">
      <w:pPr>
        <w:ind w:left="2880" w:firstLine="720"/>
        <w:jc w:val="both"/>
        <w:rPr>
          <w:rFonts w:ascii="Times New Roman" w:hAnsi="Times New Roman" w:cs="Times New Roman"/>
          <w:sz w:val="28"/>
          <w:szCs w:val="28"/>
        </w:rPr>
      </w:pPr>
    </w:p>
    <w:p w14:paraId="589A4044" w14:textId="77777777" w:rsidR="00133BE2" w:rsidRDefault="00133BE2" w:rsidP="00105ED2">
      <w:pPr>
        <w:ind w:left="2880" w:firstLine="720"/>
        <w:jc w:val="both"/>
        <w:rPr>
          <w:rFonts w:ascii="Times New Roman" w:hAnsi="Times New Roman" w:cs="Times New Roman"/>
          <w:sz w:val="28"/>
          <w:szCs w:val="28"/>
        </w:rPr>
      </w:pPr>
    </w:p>
    <w:p w14:paraId="04941D04" w14:textId="77777777" w:rsidR="00133BE2" w:rsidRDefault="00133BE2" w:rsidP="00105ED2">
      <w:pPr>
        <w:ind w:left="2880" w:firstLine="720"/>
        <w:jc w:val="both"/>
        <w:rPr>
          <w:rFonts w:ascii="Times New Roman" w:hAnsi="Times New Roman" w:cs="Times New Roman"/>
          <w:sz w:val="28"/>
          <w:szCs w:val="28"/>
        </w:rPr>
      </w:pPr>
    </w:p>
    <w:p w14:paraId="7DA7A121" w14:textId="77777777" w:rsidR="00133BE2" w:rsidRDefault="00133BE2" w:rsidP="00105ED2">
      <w:pPr>
        <w:ind w:left="2880" w:firstLine="720"/>
        <w:jc w:val="both"/>
        <w:rPr>
          <w:rFonts w:ascii="Times New Roman" w:hAnsi="Times New Roman" w:cs="Times New Roman"/>
          <w:sz w:val="28"/>
          <w:szCs w:val="28"/>
        </w:rPr>
      </w:pPr>
    </w:p>
    <w:p w14:paraId="24CE733D" w14:textId="77777777" w:rsidR="00133BE2" w:rsidRDefault="00133BE2" w:rsidP="00105ED2">
      <w:pPr>
        <w:ind w:left="2880" w:firstLine="720"/>
        <w:jc w:val="both"/>
        <w:rPr>
          <w:rFonts w:ascii="Times New Roman" w:hAnsi="Times New Roman" w:cs="Times New Roman"/>
          <w:sz w:val="28"/>
          <w:szCs w:val="28"/>
        </w:rPr>
      </w:pPr>
    </w:p>
    <w:p w14:paraId="32D66E56" w14:textId="22DD7496" w:rsidR="00F07B89" w:rsidRPr="003D4ADD" w:rsidRDefault="00CF393C" w:rsidP="00105ED2">
      <w:pPr>
        <w:ind w:left="2880" w:firstLine="720"/>
        <w:jc w:val="both"/>
        <w:rPr>
          <w:rFonts w:ascii="Times New Roman" w:hAnsi="Times New Roman" w:cs="Times New Roman"/>
          <w:sz w:val="28"/>
          <w:szCs w:val="28"/>
        </w:rPr>
      </w:pPr>
      <w:r w:rsidRPr="003D4ADD">
        <w:rPr>
          <w:rFonts w:ascii="Times New Roman" w:hAnsi="Times New Roman" w:cs="Times New Roman"/>
          <w:sz w:val="28"/>
          <w:szCs w:val="28"/>
        </w:rPr>
        <w:lastRenderedPageBreak/>
        <w:t>References:</w:t>
      </w:r>
    </w:p>
    <w:p w14:paraId="47D5FD87" w14:textId="00557A14" w:rsidR="005B4278" w:rsidRPr="003D4ADD" w:rsidRDefault="005B4278" w:rsidP="00105ED2">
      <w:pPr>
        <w:jc w:val="both"/>
        <w:rPr>
          <w:rFonts w:ascii="Times New Roman" w:hAnsi="Times New Roman" w:cs="Times New Roman"/>
          <w:color w:val="000000"/>
          <w:sz w:val="28"/>
          <w:szCs w:val="28"/>
        </w:rPr>
      </w:pPr>
      <w:r w:rsidRPr="44969AC7">
        <w:rPr>
          <w:rFonts w:ascii="Times New Roman" w:hAnsi="Times New Roman" w:cs="Times New Roman"/>
          <w:color w:val="000000" w:themeColor="text1"/>
          <w:sz w:val="28"/>
          <w:szCs w:val="28"/>
        </w:rPr>
        <w:t>Horike, M. (1980). Estimation of phase-velocity and transfer-function of microtremor, Zisin 2 33, no. 4, 425–442 (in Japanese with English abstract).</w:t>
      </w:r>
    </w:p>
    <w:p w14:paraId="5090BE16" w14:textId="5FE3C957" w:rsidR="00D31292" w:rsidRPr="003D4ADD" w:rsidRDefault="00D31292" w:rsidP="00105ED2">
      <w:pPr>
        <w:pStyle w:val="NormalWeb"/>
        <w:jc w:val="both"/>
        <w:rPr>
          <w:color w:val="000000"/>
          <w:sz w:val="28"/>
          <w:szCs w:val="28"/>
        </w:rPr>
      </w:pPr>
      <w:proofErr w:type="spellStart"/>
      <w:r w:rsidRPr="003D4ADD">
        <w:rPr>
          <w:color w:val="000000"/>
          <w:sz w:val="28"/>
          <w:szCs w:val="28"/>
        </w:rPr>
        <w:t>Lachet</w:t>
      </w:r>
      <w:proofErr w:type="spellEnd"/>
      <w:r w:rsidRPr="003D4ADD">
        <w:rPr>
          <w:color w:val="000000"/>
          <w:sz w:val="28"/>
          <w:szCs w:val="28"/>
        </w:rPr>
        <w:t xml:space="preserve">, C., D. Hatzfeld, P.-Y. Bard, N. </w:t>
      </w:r>
      <w:proofErr w:type="spellStart"/>
      <w:r w:rsidRPr="003D4ADD">
        <w:rPr>
          <w:color w:val="000000"/>
          <w:sz w:val="28"/>
          <w:szCs w:val="28"/>
        </w:rPr>
        <w:t>Theodoulidis</w:t>
      </w:r>
      <w:proofErr w:type="spellEnd"/>
      <w:r w:rsidRPr="003D4ADD">
        <w:rPr>
          <w:color w:val="000000"/>
          <w:sz w:val="28"/>
          <w:szCs w:val="28"/>
        </w:rPr>
        <w:t xml:space="preserve">, C. Papaioannou, and </w:t>
      </w:r>
      <w:proofErr w:type="spellStart"/>
      <w:r w:rsidRPr="003D4ADD">
        <w:rPr>
          <w:color w:val="000000"/>
          <w:sz w:val="28"/>
          <w:szCs w:val="28"/>
        </w:rPr>
        <w:t>Savvaidis</w:t>
      </w:r>
      <w:proofErr w:type="spellEnd"/>
      <w:r w:rsidRPr="003D4ADD">
        <w:rPr>
          <w:color w:val="000000"/>
          <w:sz w:val="28"/>
          <w:szCs w:val="28"/>
        </w:rPr>
        <w:t xml:space="preserve"> (1996). Site effects and </w:t>
      </w:r>
      <w:proofErr w:type="spellStart"/>
      <w:r w:rsidRPr="003D4ADD">
        <w:rPr>
          <w:color w:val="000000"/>
          <w:sz w:val="28"/>
          <w:szCs w:val="28"/>
        </w:rPr>
        <w:t>microzonation</w:t>
      </w:r>
      <w:proofErr w:type="spellEnd"/>
      <w:r w:rsidRPr="003D4ADD">
        <w:rPr>
          <w:color w:val="000000"/>
          <w:sz w:val="28"/>
          <w:szCs w:val="28"/>
        </w:rPr>
        <w:t xml:space="preserve"> in the city of Thessaloniki (Greece): Comparison of different approaches, Bull. </w:t>
      </w:r>
      <w:proofErr w:type="spellStart"/>
      <w:r w:rsidRPr="003D4ADD">
        <w:rPr>
          <w:color w:val="000000"/>
          <w:sz w:val="28"/>
          <w:szCs w:val="28"/>
        </w:rPr>
        <w:t>Seismol</w:t>
      </w:r>
      <w:proofErr w:type="spellEnd"/>
      <w:r w:rsidRPr="003D4ADD">
        <w:rPr>
          <w:color w:val="000000"/>
          <w:sz w:val="28"/>
          <w:szCs w:val="28"/>
        </w:rPr>
        <w:t>. Soc. Am. 86, no. 6, 1692–1703.</w:t>
      </w:r>
    </w:p>
    <w:p w14:paraId="3D89EED7" w14:textId="2E62E7D7" w:rsidR="00D31292" w:rsidRPr="003D4ADD" w:rsidRDefault="00D31292" w:rsidP="00105ED2">
      <w:pPr>
        <w:pStyle w:val="NormalWeb"/>
        <w:jc w:val="both"/>
        <w:rPr>
          <w:color w:val="000000"/>
          <w:sz w:val="28"/>
          <w:szCs w:val="28"/>
        </w:rPr>
      </w:pPr>
      <w:proofErr w:type="spellStart"/>
      <w:r w:rsidRPr="003D4ADD">
        <w:rPr>
          <w:color w:val="000000"/>
          <w:sz w:val="28"/>
          <w:szCs w:val="28"/>
        </w:rPr>
        <w:t>Lermo</w:t>
      </w:r>
      <w:proofErr w:type="spellEnd"/>
      <w:r w:rsidRPr="003D4ADD">
        <w:rPr>
          <w:color w:val="000000"/>
          <w:sz w:val="28"/>
          <w:szCs w:val="28"/>
        </w:rPr>
        <w:t xml:space="preserve">, J., and F. J. Chávez-García (1994). Are microtremors useful in site response evaluation? Bull. </w:t>
      </w:r>
      <w:proofErr w:type="spellStart"/>
      <w:r w:rsidRPr="003D4ADD">
        <w:rPr>
          <w:color w:val="000000"/>
          <w:sz w:val="28"/>
          <w:szCs w:val="28"/>
        </w:rPr>
        <w:t>Seismol</w:t>
      </w:r>
      <w:proofErr w:type="spellEnd"/>
      <w:r w:rsidRPr="003D4ADD">
        <w:rPr>
          <w:color w:val="000000"/>
          <w:sz w:val="28"/>
          <w:szCs w:val="28"/>
        </w:rPr>
        <w:t>. Soc. Am. 84, no. 51350–1364.</w:t>
      </w:r>
    </w:p>
    <w:p w14:paraId="3D04C366" w14:textId="77777777" w:rsidR="00405B29" w:rsidRPr="00405B29" w:rsidRDefault="00405B29" w:rsidP="00105ED2">
      <w:pPr>
        <w:pStyle w:val="NormalWeb"/>
        <w:jc w:val="both"/>
        <w:rPr>
          <w:color w:val="000000"/>
          <w:sz w:val="28"/>
          <w:szCs w:val="28"/>
        </w:rPr>
      </w:pPr>
      <w:r w:rsidRPr="00405B29">
        <w:rPr>
          <w:color w:val="000000"/>
          <w:sz w:val="28"/>
          <w:szCs w:val="28"/>
        </w:rPr>
        <w:t xml:space="preserve">Malischewsky, P. G., and F. </w:t>
      </w:r>
      <w:proofErr w:type="spellStart"/>
      <w:r w:rsidRPr="00405B29">
        <w:rPr>
          <w:color w:val="000000"/>
          <w:sz w:val="28"/>
          <w:szCs w:val="28"/>
        </w:rPr>
        <w:t>Scherbaum</w:t>
      </w:r>
      <w:proofErr w:type="spellEnd"/>
      <w:r w:rsidRPr="00405B29">
        <w:rPr>
          <w:color w:val="000000"/>
          <w:sz w:val="28"/>
          <w:szCs w:val="28"/>
        </w:rPr>
        <w:t xml:space="preserve"> (2004). Love’s formula and H/</w:t>
      </w:r>
      <w:proofErr w:type="spellStart"/>
      <w:r w:rsidRPr="00405B29">
        <w:rPr>
          <w:color w:val="000000"/>
          <w:sz w:val="28"/>
          <w:szCs w:val="28"/>
        </w:rPr>
        <w:t>Vratio</w:t>
      </w:r>
      <w:proofErr w:type="spellEnd"/>
      <w:r w:rsidRPr="00405B29">
        <w:rPr>
          <w:color w:val="000000"/>
          <w:sz w:val="28"/>
          <w:szCs w:val="28"/>
        </w:rPr>
        <w:t xml:space="preserve"> (ellipticity) of Rayleigh waves, Wave Motion 40, no. 1, 57–67.</w:t>
      </w:r>
    </w:p>
    <w:p w14:paraId="09EB6618" w14:textId="7375B8CA" w:rsidR="00405B29" w:rsidRPr="00405B29" w:rsidRDefault="00405B29" w:rsidP="00105ED2">
      <w:pPr>
        <w:pStyle w:val="NormalWeb"/>
        <w:jc w:val="both"/>
        <w:rPr>
          <w:color w:val="000000"/>
          <w:sz w:val="28"/>
          <w:szCs w:val="28"/>
        </w:rPr>
      </w:pPr>
      <w:proofErr w:type="spellStart"/>
      <w:r w:rsidRPr="00405B29">
        <w:rPr>
          <w:color w:val="000000"/>
          <w:sz w:val="28"/>
          <w:szCs w:val="28"/>
        </w:rPr>
        <w:t>Margerin</w:t>
      </w:r>
      <w:proofErr w:type="spellEnd"/>
      <w:r w:rsidRPr="00405B29">
        <w:rPr>
          <w:color w:val="000000"/>
          <w:sz w:val="28"/>
          <w:szCs w:val="28"/>
        </w:rPr>
        <w:t xml:space="preserve">, L., M. Campillo, B. A. van </w:t>
      </w:r>
      <w:proofErr w:type="spellStart"/>
      <w:r w:rsidRPr="00405B29">
        <w:rPr>
          <w:color w:val="000000"/>
          <w:sz w:val="28"/>
          <w:szCs w:val="28"/>
        </w:rPr>
        <w:t>Tiggelen</w:t>
      </w:r>
      <w:proofErr w:type="spellEnd"/>
      <w:r w:rsidRPr="00405B29">
        <w:rPr>
          <w:color w:val="000000"/>
          <w:sz w:val="28"/>
          <w:szCs w:val="28"/>
        </w:rPr>
        <w:t xml:space="preserve">, and R. </w:t>
      </w:r>
      <w:proofErr w:type="spellStart"/>
      <w:r w:rsidRPr="00405B29">
        <w:rPr>
          <w:color w:val="000000"/>
          <w:sz w:val="28"/>
          <w:szCs w:val="28"/>
        </w:rPr>
        <w:t>Hennino</w:t>
      </w:r>
      <w:proofErr w:type="spellEnd"/>
      <w:r w:rsidRPr="00405B29">
        <w:rPr>
          <w:color w:val="000000"/>
          <w:sz w:val="28"/>
          <w:szCs w:val="28"/>
        </w:rPr>
        <w:t xml:space="preserve"> (2009).</w:t>
      </w:r>
      <w:r w:rsidRPr="003D4ADD">
        <w:rPr>
          <w:color w:val="000000"/>
          <w:sz w:val="28"/>
          <w:szCs w:val="28"/>
        </w:rPr>
        <w:t xml:space="preserve"> </w:t>
      </w:r>
      <w:r w:rsidRPr="00405B29">
        <w:rPr>
          <w:color w:val="000000"/>
          <w:sz w:val="28"/>
          <w:szCs w:val="28"/>
        </w:rPr>
        <w:t xml:space="preserve">Energy partition of seismic coda waves in layered media: Theory and application to Pinyon Flats observatory, </w:t>
      </w:r>
      <w:proofErr w:type="spellStart"/>
      <w:r w:rsidRPr="00405B29">
        <w:rPr>
          <w:color w:val="000000"/>
          <w:sz w:val="28"/>
          <w:szCs w:val="28"/>
        </w:rPr>
        <w:t>Geophys</w:t>
      </w:r>
      <w:proofErr w:type="spellEnd"/>
      <w:r w:rsidRPr="00405B29">
        <w:rPr>
          <w:color w:val="000000"/>
          <w:sz w:val="28"/>
          <w:szCs w:val="28"/>
        </w:rPr>
        <w:t>. J. Int. 177,</w:t>
      </w:r>
      <w:r w:rsidRPr="003D4ADD">
        <w:rPr>
          <w:color w:val="000000"/>
          <w:sz w:val="28"/>
          <w:szCs w:val="28"/>
        </w:rPr>
        <w:t xml:space="preserve"> 571–585.</w:t>
      </w:r>
    </w:p>
    <w:p w14:paraId="61EE42ED" w14:textId="41101C7D" w:rsidR="0026587E" w:rsidRPr="003D4ADD" w:rsidRDefault="0026587E" w:rsidP="00105ED2">
      <w:pPr>
        <w:pStyle w:val="NormalWeb"/>
        <w:jc w:val="both"/>
        <w:rPr>
          <w:color w:val="000000"/>
          <w:sz w:val="28"/>
          <w:szCs w:val="28"/>
        </w:rPr>
      </w:pPr>
      <w:r w:rsidRPr="003D4ADD">
        <w:rPr>
          <w:color w:val="000000"/>
          <w:sz w:val="28"/>
          <w:szCs w:val="28"/>
        </w:rPr>
        <w:t xml:space="preserve">Matsushima, S., T. Hirokawa, F. Nagashima, Y. Nitta, F. J. Sánchez-Sesma, and H. Kawase (2011). Microtremor measurements in Mexico Basin and verification of the velocity structure using H/V spectral ratio, Annu. </w:t>
      </w:r>
      <w:proofErr w:type="spellStart"/>
      <w:r w:rsidRPr="003D4ADD">
        <w:rPr>
          <w:color w:val="000000"/>
          <w:sz w:val="28"/>
          <w:szCs w:val="28"/>
        </w:rPr>
        <w:t>Disast</w:t>
      </w:r>
      <w:proofErr w:type="spellEnd"/>
      <w:r w:rsidRPr="003D4ADD">
        <w:rPr>
          <w:color w:val="000000"/>
          <w:sz w:val="28"/>
          <w:szCs w:val="28"/>
        </w:rPr>
        <w:t>. Prev. Res. Inst., Kyoto Univ. 54B, 23–28 (in Japanese with English abstract).</w:t>
      </w:r>
    </w:p>
    <w:p w14:paraId="445B7389" w14:textId="193A7CA5" w:rsidR="00A20F47" w:rsidRPr="003D4ADD" w:rsidRDefault="00A20F47" w:rsidP="00105ED2">
      <w:pPr>
        <w:pStyle w:val="NormalWeb"/>
        <w:jc w:val="both"/>
        <w:rPr>
          <w:color w:val="000000"/>
          <w:sz w:val="28"/>
          <w:szCs w:val="28"/>
        </w:rPr>
      </w:pPr>
      <w:r w:rsidRPr="003D4ADD">
        <w:rPr>
          <w:color w:val="000000"/>
          <w:sz w:val="28"/>
          <w:szCs w:val="28"/>
        </w:rPr>
        <w:t>Nakamura, Y. (1989). A method for dynamic characteristics estimation of subsurface using microtremor on the ground surface, Q. Rep. Railway Tech. Res. Inst. 30, no. 1, 25–30.</w:t>
      </w:r>
    </w:p>
    <w:p w14:paraId="240D7531" w14:textId="0BE4ECC5" w:rsidR="001C5853" w:rsidRPr="003D4ADD" w:rsidRDefault="00594E55" w:rsidP="00105ED2">
      <w:pPr>
        <w:pStyle w:val="NormalWeb"/>
        <w:jc w:val="both"/>
        <w:rPr>
          <w:color w:val="000000"/>
          <w:sz w:val="28"/>
          <w:szCs w:val="28"/>
        </w:rPr>
      </w:pPr>
      <w:r w:rsidRPr="003D4ADD">
        <w:rPr>
          <w:color w:val="000000"/>
          <w:sz w:val="28"/>
          <w:szCs w:val="28"/>
        </w:rPr>
        <w:t>Nakamura, Y. (2000). Clear identification of fundamental idea of Nakamura’s technique and its applications, in Proc. 12th World Conf. Earthquake Eng., Auckland, New Zealand, Paper Number 2656 (available on CD-ROM).</w:t>
      </w:r>
    </w:p>
    <w:p w14:paraId="2B643234" w14:textId="5642163A" w:rsidR="007813AF" w:rsidRPr="003D4ADD" w:rsidRDefault="007813AF" w:rsidP="00105ED2">
      <w:pPr>
        <w:pStyle w:val="NormalWeb"/>
        <w:jc w:val="both"/>
        <w:rPr>
          <w:color w:val="000000"/>
          <w:sz w:val="28"/>
          <w:szCs w:val="28"/>
        </w:rPr>
      </w:pPr>
      <w:proofErr w:type="spellStart"/>
      <w:r w:rsidRPr="003D4ADD">
        <w:rPr>
          <w:color w:val="000000"/>
          <w:sz w:val="28"/>
          <w:szCs w:val="28"/>
        </w:rPr>
        <w:t>Perton</w:t>
      </w:r>
      <w:proofErr w:type="spellEnd"/>
      <w:r w:rsidRPr="003D4ADD">
        <w:rPr>
          <w:color w:val="000000"/>
          <w:sz w:val="28"/>
          <w:szCs w:val="28"/>
        </w:rPr>
        <w:t xml:space="preserve">, M., F. J. Sánchez-Sesma, A. Rodríguez-Castellanos, M. Campillo, and R. L. Weaver (2009). Two perspectives on equipartition in diffuse elastic fields in three dimensions, J. </w:t>
      </w:r>
      <w:proofErr w:type="spellStart"/>
      <w:r w:rsidRPr="003D4ADD">
        <w:rPr>
          <w:color w:val="000000"/>
          <w:sz w:val="28"/>
          <w:szCs w:val="28"/>
        </w:rPr>
        <w:t>Acoust</w:t>
      </w:r>
      <w:proofErr w:type="spellEnd"/>
      <w:r w:rsidRPr="003D4ADD">
        <w:rPr>
          <w:color w:val="000000"/>
          <w:sz w:val="28"/>
          <w:szCs w:val="28"/>
        </w:rPr>
        <w:t>. Soc. Am. 126, no. 3, 1125–1130.</w:t>
      </w:r>
    </w:p>
    <w:p w14:paraId="5A2613A0" w14:textId="36B00637" w:rsidR="00105ED2" w:rsidRPr="003D4ADD" w:rsidRDefault="00105ED2" w:rsidP="00105ED2">
      <w:pPr>
        <w:pStyle w:val="NormalWeb"/>
        <w:jc w:val="both"/>
        <w:rPr>
          <w:color w:val="000000"/>
          <w:sz w:val="28"/>
          <w:szCs w:val="28"/>
        </w:rPr>
      </w:pPr>
      <w:r w:rsidRPr="003D4ADD">
        <w:rPr>
          <w:color w:val="000000"/>
          <w:sz w:val="28"/>
          <w:szCs w:val="28"/>
        </w:rPr>
        <w:t xml:space="preserve">Prieto, G. A., and G. C. Beroza (2008). Earthquake ground motion prediction using the ambient seismic field, Geophys. Res. Lett. 35, no. 14, L14304, </w:t>
      </w:r>
      <w:proofErr w:type="spellStart"/>
      <w:r w:rsidRPr="003D4ADD">
        <w:rPr>
          <w:color w:val="000000"/>
          <w:sz w:val="28"/>
          <w:szCs w:val="28"/>
        </w:rPr>
        <w:t>doi</w:t>
      </w:r>
      <w:proofErr w:type="spellEnd"/>
      <w:r w:rsidRPr="003D4ADD">
        <w:rPr>
          <w:color w:val="000000"/>
          <w:sz w:val="28"/>
          <w:szCs w:val="28"/>
        </w:rPr>
        <w:t>: 10.1029/2008GL034428.</w:t>
      </w:r>
    </w:p>
    <w:p w14:paraId="176ECE38" w14:textId="77777777" w:rsidR="00105ED2" w:rsidRPr="00105ED2" w:rsidRDefault="00105ED2" w:rsidP="00105ED2">
      <w:pPr>
        <w:pStyle w:val="NormalWeb"/>
        <w:jc w:val="both"/>
        <w:rPr>
          <w:color w:val="000000"/>
          <w:sz w:val="28"/>
          <w:szCs w:val="28"/>
        </w:rPr>
      </w:pPr>
      <w:r w:rsidRPr="00105ED2">
        <w:rPr>
          <w:color w:val="000000"/>
          <w:sz w:val="28"/>
          <w:szCs w:val="28"/>
        </w:rPr>
        <w:lastRenderedPageBreak/>
        <w:t xml:space="preserve">Shapiro, N. M., and M. Campillo (2004). Emergence of broadband Rayleigh waves from correlations of the ambient seismic noise, Geophys. Res. Lett. 31, no. 7, L07614, </w:t>
      </w:r>
      <w:proofErr w:type="spellStart"/>
      <w:r w:rsidRPr="00105ED2">
        <w:rPr>
          <w:color w:val="000000"/>
          <w:sz w:val="28"/>
          <w:szCs w:val="28"/>
        </w:rPr>
        <w:t>doi</w:t>
      </w:r>
      <w:proofErr w:type="spellEnd"/>
      <w:r w:rsidRPr="00105ED2">
        <w:rPr>
          <w:color w:val="000000"/>
          <w:sz w:val="28"/>
          <w:szCs w:val="28"/>
        </w:rPr>
        <w:t>: 10.1029/2004GL019491.</w:t>
      </w:r>
    </w:p>
    <w:p w14:paraId="10E9F40B" w14:textId="77777777" w:rsidR="00105ED2" w:rsidRPr="00105ED2" w:rsidRDefault="00105ED2" w:rsidP="00105ED2">
      <w:pPr>
        <w:pStyle w:val="NormalWeb"/>
        <w:jc w:val="both"/>
        <w:rPr>
          <w:color w:val="000000"/>
          <w:sz w:val="28"/>
          <w:szCs w:val="28"/>
        </w:rPr>
      </w:pPr>
      <w:r w:rsidRPr="00105ED2">
        <w:rPr>
          <w:color w:val="000000"/>
          <w:sz w:val="28"/>
          <w:szCs w:val="28"/>
        </w:rPr>
        <w:t xml:space="preserve">Snieder, R., Y. Fan, E. Slob, and </w:t>
      </w:r>
      <w:proofErr w:type="spellStart"/>
      <w:r w:rsidRPr="00105ED2">
        <w:rPr>
          <w:color w:val="000000"/>
          <w:sz w:val="28"/>
          <w:szCs w:val="28"/>
        </w:rPr>
        <w:t>K.Wapenaar</w:t>
      </w:r>
      <w:proofErr w:type="spellEnd"/>
      <w:r w:rsidRPr="00105ED2">
        <w:rPr>
          <w:color w:val="000000"/>
          <w:sz w:val="28"/>
          <w:szCs w:val="28"/>
        </w:rPr>
        <w:t xml:space="preserve"> (2010). Equipartitioning is not sufficient for Green’s function extraction, </w:t>
      </w:r>
      <w:proofErr w:type="spellStart"/>
      <w:r w:rsidRPr="00105ED2">
        <w:rPr>
          <w:color w:val="000000"/>
          <w:sz w:val="28"/>
          <w:szCs w:val="28"/>
        </w:rPr>
        <w:t>Earthq</w:t>
      </w:r>
      <w:proofErr w:type="spellEnd"/>
      <w:r w:rsidRPr="00105ED2">
        <w:rPr>
          <w:color w:val="000000"/>
          <w:sz w:val="28"/>
          <w:szCs w:val="28"/>
        </w:rPr>
        <w:t xml:space="preserve">. Sci. 23, 403–415, </w:t>
      </w:r>
      <w:proofErr w:type="spellStart"/>
      <w:r w:rsidRPr="00105ED2">
        <w:rPr>
          <w:color w:val="000000"/>
          <w:sz w:val="28"/>
          <w:szCs w:val="28"/>
        </w:rPr>
        <w:t>doi</w:t>
      </w:r>
      <w:proofErr w:type="spellEnd"/>
      <w:r w:rsidRPr="00105ED2">
        <w:rPr>
          <w:color w:val="000000"/>
          <w:sz w:val="28"/>
          <w:szCs w:val="28"/>
        </w:rPr>
        <w:t>: 10.1007/s11589-010-0739-1.</w:t>
      </w:r>
    </w:p>
    <w:p w14:paraId="7A43F839" w14:textId="77777777" w:rsidR="00105ED2" w:rsidRPr="00105ED2" w:rsidRDefault="00105ED2" w:rsidP="00105ED2">
      <w:pPr>
        <w:pStyle w:val="NormalWeb"/>
        <w:jc w:val="both"/>
        <w:rPr>
          <w:color w:val="000000"/>
          <w:sz w:val="28"/>
          <w:szCs w:val="28"/>
        </w:rPr>
      </w:pPr>
      <w:r w:rsidRPr="00105ED2">
        <w:rPr>
          <w:color w:val="000000"/>
          <w:sz w:val="28"/>
          <w:szCs w:val="28"/>
        </w:rPr>
        <w:t xml:space="preserve">Stehly, L., M. Campillo, B. Froment, and R. </w:t>
      </w:r>
      <w:proofErr w:type="spellStart"/>
      <w:r w:rsidRPr="00105ED2">
        <w:rPr>
          <w:color w:val="000000"/>
          <w:sz w:val="28"/>
          <w:szCs w:val="28"/>
        </w:rPr>
        <w:t>L.Weaver</w:t>
      </w:r>
      <w:proofErr w:type="spellEnd"/>
      <w:r w:rsidRPr="00105ED2">
        <w:rPr>
          <w:color w:val="000000"/>
          <w:sz w:val="28"/>
          <w:szCs w:val="28"/>
        </w:rPr>
        <w:t xml:space="preserve"> (2008), Reconstructing Green’s function by correlation of the coda of the correlation (C3) of ambient seismic noise, J. Geophys. Res. 113, no. B11, B11306, </w:t>
      </w:r>
      <w:proofErr w:type="spellStart"/>
      <w:r w:rsidRPr="00105ED2">
        <w:rPr>
          <w:color w:val="000000"/>
          <w:sz w:val="28"/>
          <w:szCs w:val="28"/>
        </w:rPr>
        <w:t>doi</w:t>
      </w:r>
      <w:proofErr w:type="spellEnd"/>
      <w:r w:rsidRPr="00105ED2">
        <w:rPr>
          <w:color w:val="000000"/>
          <w:sz w:val="28"/>
          <w:szCs w:val="28"/>
        </w:rPr>
        <w:t>: 10.1029/2008JB005693.</w:t>
      </w:r>
    </w:p>
    <w:p w14:paraId="05911CF8" w14:textId="77777777" w:rsidR="00105ED2" w:rsidRPr="003D4ADD" w:rsidRDefault="00105ED2" w:rsidP="00105ED2">
      <w:pPr>
        <w:pStyle w:val="NormalWeb"/>
        <w:jc w:val="both"/>
        <w:rPr>
          <w:color w:val="000000"/>
          <w:sz w:val="28"/>
          <w:szCs w:val="28"/>
        </w:rPr>
      </w:pPr>
    </w:p>
    <w:p w14:paraId="14D38AF9" w14:textId="77777777" w:rsidR="00105ED2" w:rsidRPr="001C5853" w:rsidRDefault="00105ED2" w:rsidP="00105ED2">
      <w:pPr>
        <w:pStyle w:val="NormalWeb"/>
        <w:jc w:val="both"/>
        <w:rPr>
          <w:color w:val="000000"/>
          <w:sz w:val="28"/>
          <w:szCs w:val="28"/>
        </w:rPr>
      </w:pPr>
    </w:p>
    <w:p w14:paraId="77154D61" w14:textId="77777777" w:rsidR="001C5853" w:rsidRPr="003D4ADD" w:rsidRDefault="001C5853" w:rsidP="00105ED2">
      <w:pPr>
        <w:pStyle w:val="NormalWeb"/>
        <w:jc w:val="both"/>
        <w:rPr>
          <w:color w:val="000000"/>
          <w:sz w:val="28"/>
          <w:szCs w:val="28"/>
        </w:rPr>
      </w:pPr>
    </w:p>
    <w:p w14:paraId="03008F69" w14:textId="77777777" w:rsidR="005B4278" w:rsidRPr="003D4ADD" w:rsidRDefault="005B4278" w:rsidP="00105ED2">
      <w:pPr>
        <w:jc w:val="both"/>
        <w:rPr>
          <w:rFonts w:ascii="Times New Roman" w:hAnsi="Times New Roman" w:cs="Times New Roman"/>
          <w:sz w:val="28"/>
          <w:szCs w:val="28"/>
        </w:rPr>
      </w:pPr>
    </w:p>
    <w:sectPr w:rsidR="005B4278" w:rsidRPr="003D4A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B89"/>
    <w:rsid w:val="00012838"/>
    <w:rsid w:val="00015C19"/>
    <w:rsid w:val="00054D04"/>
    <w:rsid w:val="00073922"/>
    <w:rsid w:val="00081360"/>
    <w:rsid w:val="00096612"/>
    <w:rsid w:val="000A5909"/>
    <w:rsid w:val="000B64F9"/>
    <w:rsid w:val="000E15C4"/>
    <w:rsid w:val="00105ED2"/>
    <w:rsid w:val="00133BE2"/>
    <w:rsid w:val="001468A6"/>
    <w:rsid w:val="00147A07"/>
    <w:rsid w:val="00175B67"/>
    <w:rsid w:val="00190D80"/>
    <w:rsid w:val="00190FF7"/>
    <w:rsid w:val="0019180B"/>
    <w:rsid w:val="001C454B"/>
    <w:rsid w:val="001C5853"/>
    <w:rsid w:val="001E221A"/>
    <w:rsid w:val="001F7550"/>
    <w:rsid w:val="00205C2B"/>
    <w:rsid w:val="00206B95"/>
    <w:rsid w:val="00207B41"/>
    <w:rsid w:val="00241EC6"/>
    <w:rsid w:val="002531D0"/>
    <w:rsid w:val="0026587E"/>
    <w:rsid w:val="0027354D"/>
    <w:rsid w:val="00276912"/>
    <w:rsid w:val="00291D4F"/>
    <w:rsid w:val="002A2B09"/>
    <w:rsid w:val="002F656B"/>
    <w:rsid w:val="00317694"/>
    <w:rsid w:val="00331FAD"/>
    <w:rsid w:val="0033650A"/>
    <w:rsid w:val="003A4ACA"/>
    <w:rsid w:val="003D4ADD"/>
    <w:rsid w:val="003E6E44"/>
    <w:rsid w:val="00405B29"/>
    <w:rsid w:val="004314B4"/>
    <w:rsid w:val="004416C2"/>
    <w:rsid w:val="004559E8"/>
    <w:rsid w:val="004A4D77"/>
    <w:rsid w:val="004A5B40"/>
    <w:rsid w:val="004D40B5"/>
    <w:rsid w:val="00504071"/>
    <w:rsid w:val="005219FB"/>
    <w:rsid w:val="00533E4C"/>
    <w:rsid w:val="00550DC8"/>
    <w:rsid w:val="0057714B"/>
    <w:rsid w:val="0058164C"/>
    <w:rsid w:val="005818E9"/>
    <w:rsid w:val="005922BB"/>
    <w:rsid w:val="00594E55"/>
    <w:rsid w:val="005B21E6"/>
    <w:rsid w:val="005B4278"/>
    <w:rsid w:val="005C136E"/>
    <w:rsid w:val="005C52AB"/>
    <w:rsid w:val="005F5C31"/>
    <w:rsid w:val="0063705A"/>
    <w:rsid w:val="006528A0"/>
    <w:rsid w:val="00695B1F"/>
    <w:rsid w:val="006F032F"/>
    <w:rsid w:val="00740717"/>
    <w:rsid w:val="00746A7C"/>
    <w:rsid w:val="00760AE7"/>
    <w:rsid w:val="00766FC3"/>
    <w:rsid w:val="00774EDB"/>
    <w:rsid w:val="007813AF"/>
    <w:rsid w:val="007D3BBB"/>
    <w:rsid w:val="007D60A0"/>
    <w:rsid w:val="007E2053"/>
    <w:rsid w:val="007E5040"/>
    <w:rsid w:val="008069AA"/>
    <w:rsid w:val="008513D6"/>
    <w:rsid w:val="00867011"/>
    <w:rsid w:val="0086782D"/>
    <w:rsid w:val="0087010C"/>
    <w:rsid w:val="00873F71"/>
    <w:rsid w:val="00897312"/>
    <w:rsid w:val="008A4D0B"/>
    <w:rsid w:val="008E7D48"/>
    <w:rsid w:val="00941B9F"/>
    <w:rsid w:val="00986AB3"/>
    <w:rsid w:val="009B4C52"/>
    <w:rsid w:val="009B6BCF"/>
    <w:rsid w:val="009D3983"/>
    <w:rsid w:val="009E3FE8"/>
    <w:rsid w:val="009F7A91"/>
    <w:rsid w:val="00A20F47"/>
    <w:rsid w:val="00A27D9A"/>
    <w:rsid w:val="00A65AD3"/>
    <w:rsid w:val="00A86571"/>
    <w:rsid w:val="00A95B1B"/>
    <w:rsid w:val="00AA1CA5"/>
    <w:rsid w:val="00AA502C"/>
    <w:rsid w:val="00AC4D56"/>
    <w:rsid w:val="00AF21E0"/>
    <w:rsid w:val="00B06DD3"/>
    <w:rsid w:val="00B35AE1"/>
    <w:rsid w:val="00B703CA"/>
    <w:rsid w:val="00BA0B93"/>
    <w:rsid w:val="00BC3F1A"/>
    <w:rsid w:val="00C129C3"/>
    <w:rsid w:val="00C2054F"/>
    <w:rsid w:val="00C4009B"/>
    <w:rsid w:val="00C439A7"/>
    <w:rsid w:val="00C64260"/>
    <w:rsid w:val="00C70710"/>
    <w:rsid w:val="00C803E9"/>
    <w:rsid w:val="00CA49BE"/>
    <w:rsid w:val="00CF393C"/>
    <w:rsid w:val="00D23FD7"/>
    <w:rsid w:val="00D26ED1"/>
    <w:rsid w:val="00D300DB"/>
    <w:rsid w:val="00D31292"/>
    <w:rsid w:val="00D36471"/>
    <w:rsid w:val="00D43FC2"/>
    <w:rsid w:val="00D650DE"/>
    <w:rsid w:val="00D741B4"/>
    <w:rsid w:val="00DE5CD1"/>
    <w:rsid w:val="00DF555F"/>
    <w:rsid w:val="00E02C9C"/>
    <w:rsid w:val="00E50279"/>
    <w:rsid w:val="00E77ACC"/>
    <w:rsid w:val="00EA17C2"/>
    <w:rsid w:val="00EB18F4"/>
    <w:rsid w:val="00ED5A59"/>
    <w:rsid w:val="00EF59B2"/>
    <w:rsid w:val="00F07A9C"/>
    <w:rsid w:val="00F07B89"/>
    <w:rsid w:val="00F604A3"/>
    <w:rsid w:val="00F81074"/>
    <w:rsid w:val="00F8239F"/>
    <w:rsid w:val="00FC2E5A"/>
    <w:rsid w:val="00FE5A5C"/>
    <w:rsid w:val="034D2FD7"/>
    <w:rsid w:val="0640518E"/>
    <w:rsid w:val="0BE2FF58"/>
    <w:rsid w:val="0F052161"/>
    <w:rsid w:val="161AEC1F"/>
    <w:rsid w:val="18FB1702"/>
    <w:rsid w:val="1B444D87"/>
    <w:rsid w:val="1D08146E"/>
    <w:rsid w:val="1D646C71"/>
    <w:rsid w:val="1EB12043"/>
    <w:rsid w:val="1F93CE23"/>
    <w:rsid w:val="1FE84EB4"/>
    <w:rsid w:val="21724B3C"/>
    <w:rsid w:val="2349D91F"/>
    <w:rsid w:val="238B112E"/>
    <w:rsid w:val="23F29037"/>
    <w:rsid w:val="23F64294"/>
    <w:rsid w:val="2ADB95E2"/>
    <w:rsid w:val="2CB531F2"/>
    <w:rsid w:val="2CC8F791"/>
    <w:rsid w:val="2E40F287"/>
    <w:rsid w:val="2E905588"/>
    <w:rsid w:val="2EE79EE9"/>
    <w:rsid w:val="2F2065B7"/>
    <w:rsid w:val="2FC83BBC"/>
    <w:rsid w:val="304E10D0"/>
    <w:rsid w:val="320BAB20"/>
    <w:rsid w:val="3438EE75"/>
    <w:rsid w:val="37949A16"/>
    <w:rsid w:val="383BDBD0"/>
    <w:rsid w:val="3B747DE6"/>
    <w:rsid w:val="44969AC7"/>
    <w:rsid w:val="46556553"/>
    <w:rsid w:val="4CFD02E4"/>
    <w:rsid w:val="4D13F3D9"/>
    <w:rsid w:val="4D233E2A"/>
    <w:rsid w:val="4D8C6060"/>
    <w:rsid w:val="51B56152"/>
    <w:rsid w:val="559CFB27"/>
    <w:rsid w:val="5A3C6282"/>
    <w:rsid w:val="5F4809CA"/>
    <w:rsid w:val="5FFB1FDC"/>
    <w:rsid w:val="61D0618B"/>
    <w:rsid w:val="620A34A8"/>
    <w:rsid w:val="622265F9"/>
    <w:rsid w:val="6357ECE7"/>
    <w:rsid w:val="719C1F87"/>
    <w:rsid w:val="7717007C"/>
    <w:rsid w:val="77AA8B98"/>
    <w:rsid w:val="77D6A442"/>
    <w:rsid w:val="796E2C20"/>
    <w:rsid w:val="7A90428A"/>
    <w:rsid w:val="7B396278"/>
    <w:rsid w:val="7BBF1E44"/>
    <w:rsid w:val="7BC8E13C"/>
    <w:rsid w:val="7C3490E9"/>
    <w:rsid w:val="7D9964D2"/>
    <w:rsid w:val="7E455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B710B1"/>
  <w15:chartTrackingRefBased/>
  <w15:docId w15:val="{335553F0-FD05-4A42-9E00-D88D2E400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B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07B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7B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7B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7B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7B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7B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7B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7B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B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07B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7B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7B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7B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7B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7B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7B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7B89"/>
    <w:rPr>
      <w:rFonts w:eastAsiaTheme="majorEastAsia" w:cstheme="majorBidi"/>
      <w:color w:val="272727" w:themeColor="text1" w:themeTint="D8"/>
    </w:rPr>
  </w:style>
  <w:style w:type="paragraph" w:styleId="Title">
    <w:name w:val="Title"/>
    <w:basedOn w:val="Normal"/>
    <w:next w:val="Normal"/>
    <w:link w:val="TitleChar"/>
    <w:uiPriority w:val="10"/>
    <w:qFormat/>
    <w:rsid w:val="00F07B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7B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7B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7B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7B89"/>
    <w:pPr>
      <w:spacing w:before="160"/>
      <w:jc w:val="center"/>
    </w:pPr>
    <w:rPr>
      <w:i/>
      <w:iCs/>
      <w:color w:val="404040" w:themeColor="text1" w:themeTint="BF"/>
    </w:rPr>
  </w:style>
  <w:style w:type="character" w:customStyle="1" w:styleId="QuoteChar">
    <w:name w:val="Quote Char"/>
    <w:basedOn w:val="DefaultParagraphFont"/>
    <w:link w:val="Quote"/>
    <w:uiPriority w:val="29"/>
    <w:rsid w:val="00F07B89"/>
    <w:rPr>
      <w:i/>
      <w:iCs/>
      <w:color w:val="404040" w:themeColor="text1" w:themeTint="BF"/>
    </w:rPr>
  </w:style>
  <w:style w:type="paragraph" w:styleId="ListParagraph">
    <w:name w:val="List Paragraph"/>
    <w:basedOn w:val="Normal"/>
    <w:uiPriority w:val="34"/>
    <w:qFormat/>
    <w:rsid w:val="00F07B89"/>
    <w:pPr>
      <w:ind w:left="720"/>
      <w:contextualSpacing/>
    </w:pPr>
  </w:style>
  <w:style w:type="character" w:styleId="IntenseEmphasis">
    <w:name w:val="Intense Emphasis"/>
    <w:basedOn w:val="DefaultParagraphFont"/>
    <w:uiPriority w:val="21"/>
    <w:qFormat/>
    <w:rsid w:val="00F07B89"/>
    <w:rPr>
      <w:i/>
      <w:iCs/>
      <w:color w:val="0F4761" w:themeColor="accent1" w:themeShade="BF"/>
    </w:rPr>
  </w:style>
  <w:style w:type="paragraph" w:styleId="IntenseQuote">
    <w:name w:val="Intense Quote"/>
    <w:basedOn w:val="Normal"/>
    <w:next w:val="Normal"/>
    <w:link w:val="IntenseQuoteChar"/>
    <w:uiPriority w:val="30"/>
    <w:qFormat/>
    <w:rsid w:val="00F07B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7B89"/>
    <w:rPr>
      <w:i/>
      <w:iCs/>
      <w:color w:val="0F4761" w:themeColor="accent1" w:themeShade="BF"/>
    </w:rPr>
  </w:style>
  <w:style w:type="character" w:styleId="IntenseReference">
    <w:name w:val="Intense Reference"/>
    <w:basedOn w:val="DefaultParagraphFont"/>
    <w:uiPriority w:val="32"/>
    <w:qFormat/>
    <w:rsid w:val="00F07B89"/>
    <w:rPr>
      <w:b/>
      <w:bCs/>
      <w:smallCaps/>
      <w:color w:val="0F4761" w:themeColor="accent1" w:themeShade="BF"/>
      <w:spacing w:val="5"/>
    </w:rPr>
  </w:style>
  <w:style w:type="paragraph" w:styleId="NormalWeb">
    <w:name w:val="Normal (Web)"/>
    <w:basedOn w:val="Normal"/>
    <w:uiPriority w:val="99"/>
    <w:semiHidden/>
    <w:unhideWhenUsed/>
    <w:rsid w:val="00D31292"/>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278a402-1a9e-4eb9-8414-ffb55a5fcf1e}" enabled="0" method="" siteId="{4278a402-1a9e-4eb9-8414-ffb55a5fcf1e}"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7</Pages>
  <Words>1206</Words>
  <Characters>7444</Characters>
  <Application>Microsoft Office Word</Application>
  <DocSecurity>0</DocSecurity>
  <Lines>158</Lines>
  <Paragraphs>44</Paragraphs>
  <ScaleCrop>false</ScaleCrop>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Babatunde Rotimi</dc:creator>
  <cp:keywords/>
  <dc:description/>
  <cp:lastModifiedBy>Babatunde Isaac Rotimi</cp:lastModifiedBy>
  <cp:revision>5</cp:revision>
  <dcterms:created xsi:type="dcterms:W3CDTF">2025-10-15T01:14:00Z</dcterms:created>
  <dcterms:modified xsi:type="dcterms:W3CDTF">2026-01-05T01:42:00Z</dcterms:modified>
</cp:coreProperties>
</file>