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88" w:lineRule="auto"/>
        <w:ind w:left="0" w:right="0" w:firstLine="0"/>
        <w:jc w:val="left"/>
        <w:rPr>
          <w:rFonts w:ascii="Arial" w:cs="Arial" w:eastAsia="Arial" w:hAnsi="Arial"/>
          <w:b w:val="0"/>
          <w:i w:val="0"/>
          <w:smallCaps w:val="0"/>
          <w:strike w:val="0"/>
          <w:color w:val="000000"/>
          <w:sz w:val="36"/>
          <w:szCs w:val="36"/>
          <w:u w:val="none"/>
          <w:shd w:fill="auto" w:val="clear"/>
          <w:vertAlign w:val="baseline"/>
        </w:rPr>
      </w:pPr>
      <w:r w:rsidDel="00000000" w:rsidR="00000000" w:rsidRPr="00000000">
        <w:rPr>
          <w:rFonts w:ascii="Arial" w:cs="Arial" w:eastAsia="Arial" w:hAnsi="Arial"/>
          <w:b w:val="0"/>
          <w:i w:val="0"/>
          <w:smallCaps w:val="0"/>
          <w:strike w:val="0"/>
          <w:color w:val="000000"/>
          <w:sz w:val="34"/>
          <w:szCs w:val="34"/>
          <w:u w:val="none"/>
          <w:shd w:fill="auto" w:val="clear"/>
          <w:vertAlign w:val="baseline"/>
          <w:rtl w:val="0"/>
        </w:rPr>
        <w:t xml:space="preserve">Adv</w:t>
      </w:r>
      <w:r w:rsidDel="00000000" w:rsidR="00000000" w:rsidRPr="00000000">
        <w:rPr>
          <w:sz w:val="34"/>
          <w:szCs w:val="34"/>
          <w:rtl w:val="0"/>
        </w:rPr>
        <w:t xml:space="preserve">anced LIGO</w:t>
      </w:r>
      <w:r w:rsidDel="00000000" w:rsidR="00000000" w:rsidRPr="00000000">
        <w:rPr>
          <w:rFonts w:ascii="Arial" w:cs="Arial" w:eastAsia="Arial" w:hAnsi="Arial"/>
          <w:b w:val="0"/>
          <w:i w:val="0"/>
          <w:smallCaps w:val="0"/>
          <w:strike w:val="0"/>
          <w:color w:val="000000"/>
          <w:sz w:val="34"/>
          <w:szCs w:val="34"/>
          <w:u w:val="none"/>
          <w:shd w:fill="auto" w:val="clear"/>
          <w:vertAlign w:val="baseline"/>
          <w:rtl w:val="0"/>
        </w:rPr>
        <w:t xml:space="preserve">+(A</w:t>
      </w:r>
      <w:r w:rsidDel="00000000" w:rsidR="00000000" w:rsidRPr="00000000">
        <w:rPr>
          <w:sz w:val="34"/>
          <w:szCs w:val="34"/>
          <w:rtl w:val="0"/>
        </w:rPr>
        <w:t xml:space="preserve">+)</w:t>
      </w:r>
      <w:r w:rsidDel="00000000" w:rsidR="00000000" w:rsidRPr="00000000">
        <w:rPr>
          <w:rFonts w:ascii="Arial" w:cs="Arial" w:eastAsia="Arial" w:hAnsi="Arial"/>
          <w:b w:val="0"/>
          <w:i w:val="0"/>
          <w:smallCaps w:val="0"/>
          <w:strike w:val="0"/>
          <w:color w:val="000000"/>
          <w:sz w:val="34"/>
          <w:szCs w:val="34"/>
          <w:u w:val="none"/>
          <w:shd w:fill="auto" w:val="clear"/>
          <w:vertAlign w:val="baseline"/>
          <w:rtl w:val="0"/>
        </w:rPr>
        <w:t xml:space="preserve">/Advanced Virgo+(AdV+) Coating Report         </w:t>
      </w:r>
      <w:r w:rsidDel="00000000" w:rsidR="00000000" w:rsidRPr="00000000">
        <w:rPr>
          <w:rFonts w:ascii="Arial" w:cs="Arial" w:eastAsia="Arial" w:hAnsi="Arial"/>
          <w:b w:val="0"/>
          <w:i w:val="0"/>
          <w:smallCaps w:val="0"/>
          <w:strike w:val="0"/>
          <w:color w:val="000000"/>
          <w:sz w:val="36"/>
          <w:szCs w:val="36"/>
          <w:u w:val="none"/>
          <w:shd w:fill="auto" w:val="clear"/>
          <w:vertAlign w:val="baseline"/>
          <w:rtl w:val="0"/>
        </w:rPr>
        <w:t xml:space="preserve">      </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88" w:lineRule="auto"/>
        <w:ind w:left="0" w:right="0" w:firstLine="0"/>
        <w:jc w:val="left"/>
        <w:rPr>
          <w:rFonts w:ascii="Arial" w:cs="Arial" w:eastAsia="Arial" w:hAnsi="Arial"/>
          <w:b w:val="0"/>
          <w:i w:val="0"/>
          <w:smallCaps w:val="0"/>
          <w:strike w:val="0"/>
          <w:color w:val="000000"/>
          <w:sz w:val="34"/>
          <w:szCs w:val="34"/>
          <w:u w:val="none"/>
          <w:shd w:fill="auto" w:val="clear"/>
          <w:vertAlign w:val="baseline"/>
        </w:rPr>
      </w:pPr>
      <w:r w:rsidDel="00000000" w:rsidR="00000000" w:rsidRPr="00000000">
        <w:rPr>
          <w:rFonts w:ascii="Arial" w:cs="Arial" w:eastAsia="Arial" w:hAnsi="Arial"/>
          <w:b w:val="0"/>
          <w:i w:val="0"/>
          <w:smallCaps w:val="0"/>
          <w:strike w:val="0"/>
          <w:color w:val="000000"/>
          <w:sz w:val="34"/>
          <w:szCs w:val="34"/>
          <w:u w:val="none"/>
          <w:shd w:fill="auto" w:val="clear"/>
          <w:vertAlign w:val="baseline"/>
          <w:rtl w:val="0"/>
        </w:rPr>
        <w:t xml:space="preserve">October 2021</w:t>
      </w:r>
    </w:p>
    <w:p w:rsidR="00000000" w:rsidDel="00000000" w:rsidP="00000000" w:rsidRDefault="00000000" w:rsidRPr="00000000" w14:paraId="00000003">
      <w:pPr>
        <w:pStyle w:val="Heading1"/>
        <w:numPr>
          <w:ilvl w:val="0"/>
          <w:numId w:val="7"/>
        </w:numPr>
        <w:ind w:left="1080" w:hanging="360"/>
        <w:rPr>
          <w:rFonts w:ascii="Arial" w:cs="Arial" w:eastAsia="Arial" w:hAnsi="Arial"/>
          <w:b w:val="1"/>
          <w:color w:val="000000"/>
        </w:rPr>
      </w:pPr>
      <w:r w:rsidDel="00000000" w:rsidR="00000000" w:rsidRPr="00000000">
        <w:rPr>
          <w:rFonts w:ascii="Arial" w:cs="Arial" w:eastAsia="Arial" w:hAnsi="Arial"/>
          <w:b w:val="1"/>
          <w:color w:val="000000"/>
          <w:rtl w:val="0"/>
        </w:rPr>
        <w:t xml:space="preserve">Introduction</w:t>
      </w:r>
    </w:p>
    <w:p w:rsidR="00000000" w:rsidDel="00000000" w:rsidP="00000000" w:rsidRDefault="00000000" w:rsidRPr="00000000" w14:paraId="00000004">
      <w:pPr>
        <w:spacing w:after="0" w:lineRule="auto"/>
        <w:ind w:left="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The panel listed at the end of this report were invited by the A+ and AdV+ leadership to evaluate proposals from the major low-coating-thermal-noise (CTN) </w:t>
      </w:r>
      <w:r w:rsidDel="00000000" w:rsidR="00000000" w:rsidRPr="00000000">
        <w:rPr>
          <w:rtl w:val="0"/>
        </w:rPr>
        <w:t xml:space="preserve">C</w:t>
      </w:r>
      <w:r w:rsidDel="00000000" w:rsidR="00000000" w:rsidRPr="00000000">
        <w:rPr>
          <w:rFonts w:ascii="Arial" w:cs="Arial" w:eastAsia="Arial" w:hAnsi="Arial"/>
          <w:color w:val="000000"/>
          <w:rtl w:val="0"/>
        </w:rPr>
        <w:t xml:space="preserve">oating R&amp;D centers, describing the properties and maturity of the promising candidates that have emerged from ongoing R&amp;D towards a new practical coating material for use in the O5 observing run of A+ and AdV+.</w:t>
      </w:r>
    </w:p>
    <w:p w:rsidR="00000000" w:rsidDel="00000000" w:rsidP="00000000" w:rsidRDefault="00000000" w:rsidRPr="00000000" w14:paraId="00000005">
      <w:pPr>
        <w:spacing w:after="0" w:lineRule="auto"/>
        <w:ind w:left="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The proposed evaluation process and charge to the panel are given in </w:t>
      </w:r>
      <w:r w:rsidDel="00000000" w:rsidR="00000000" w:rsidRPr="00000000">
        <w:rPr>
          <w:rFonts w:ascii="Arial" w:cs="Arial" w:eastAsia="Arial" w:hAnsi="Arial"/>
          <w:color w:val="1155cd"/>
          <w:rtl w:val="0"/>
        </w:rPr>
        <w:t xml:space="preserve">LIGO-M2100135/VIR-0938A-21.  </w:t>
      </w:r>
      <w:r w:rsidDel="00000000" w:rsidR="00000000" w:rsidRPr="00000000">
        <w:rPr>
          <w:rFonts w:ascii="Arial" w:cs="Arial" w:eastAsia="Arial" w:hAnsi="Arial"/>
          <w:color w:val="000000"/>
          <w:rtl w:val="0"/>
        </w:rPr>
        <w:t xml:space="preserve">The charge to the panel requests that it:</w:t>
      </w:r>
    </w:p>
    <w:p w:rsidR="00000000" w:rsidDel="00000000" w:rsidP="00000000" w:rsidRDefault="00000000" w:rsidRPr="00000000" w14:paraId="00000006">
      <w:pPr>
        <w:numPr>
          <w:ilvl w:val="0"/>
          <w:numId w:val="2"/>
        </w:numPr>
        <w:spacing w:after="144" w:before="144" w:lineRule="auto"/>
        <w:ind w:left="714" w:hanging="357"/>
        <w:rPr>
          <w:rFonts w:ascii="Arial" w:cs="Arial" w:eastAsia="Arial" w:hAnsi="Arial"/>
          <w:color w:val="000000"/>
        </w:rPr>
      </w:pPr>
      <w:r w:rsidDel="00000000" w:rsidR="00000000" w:rsidRPr="00000000">
        <w:rPr>
          <w:rFonts w:ascii="Arial" w:cs="Arial" w:eastAsia="Arial" w:hAnsi="Arial"/>
          <w:color w:val="000000"/>
          <w:rtl w:val="0"/>
        </w:rPr>
        <w:t xml:space="preserve">Evaluate and compare proposed coating solutions for projected CTN strain spectral density in AdV+/A+ deployment, and for expected optical conformance with LIGO and Virgo core optic requirements </w:t>
      </w:r>
    </w:p>
    <w:p w:rsidR="00000000" w:rsidDel="00000000" w:rsidP="00000000" w:rsidRDefault="00000000" w:rsidRPr="00000000" w14:paraId="00000007">
      <w:pPr>
        <w:numPr>
          <w:ilvl w:val="0"/>
          <w:numId w:val="2"/>
        </w:numPr>
        <w:spacing w:after="144" w:before="144" w:lineRule="auto"/>
        <w:ind w:left="714" w:hanging="357"/>
        <w:rPr>
          <w:rFonts w:ascii="Arial" w:cs="Arial" w:eastAsia="Arial" w:hAnsi="Arial"/>
          <w:color w:val="000000"/>
        </w:rPr>
      </w:pPr>
      <w:r w:rsidDel="00000000" w:rsidR="00000000" w:rsidRPr="00000000">
        <w:rPr>
          <w:rFonts w:ascii="Arial" w:cs="Arial" w:eastAsia="Arial" w:hAnsi="Arial"/>
          <w:color w:val="000000"/>
          <w:rtl w:val="0"/>
        </w:rPr>
        <w:t xml:space="preserve">Consider the relative maturity and completeness of the experimental data, modeling and reference literature underpinning these projections.</w:t>
      </w:r>
    </w:p>
    <w:p w:rsidR="00000000" w:rsidDel="00000000" w:rsidP="00000000" w:rsidRDefault="00000000" w:rsidRPr="00000000" w14:paraId="00000008">
      <w:pPr>
        <w:numPr>
          <w:ilvl w:val="0"/>
          <w:numId w:val="2"/>
        </w:numPr>
        <w:spacing w:after="144" w:before="144" w:lineRule="auto"/>
        <w:ind w:left="714" w:hanging="357"/>
        <w:rPr>
          <w:rFonts w:ascii="Arial" w:cs="Arial" w:eastAsia="Arial" w:hAnsi="Arial"/>
          <w:color w:val="000000"/>
        </w:rPr>
      </w:pPr>
      <w:r w:rsidDel="00000000" w:rsidR="00000000" w:rsidRPr="00000000">
        <w:rPr>
          <w:rFonts w:ascii="Arial" w:cs="Arial" w:eastAsia="Arial" w:hAnsi="Arial"/>
          <w:color w:val="000000"/>
          <w:rtl w:val="0"/>
        </w:rPr>
        <w:t xml:space="preserve">Evaluate comparative readiness of each proposed solution for scaling to full aperture, and also for achieving the necessary uniformity, predictability, and quality to support production coating on ITM/ETM substrates.</w:t>
      </w:r>
    </w:p>
    <w:p w:rsidR="00000000" w:rsidDel="00000000" w:rsidP="00000000" w:rsidRDefault="00000000" w:rsidRPr="00000000" w14:paraId="00000009">
      <w:pPr>
        <w:numPr>
          <w:ilvl w:val="0"/>
          <w:numId w:val="2"/>
        </w:numPr>
        <w:spacing w:after="144" w:before="144" w:lineRule="auto"/>
        <w:ind w:left="714" w:hanging="357"/>
        <w:rPr>
          <w:rFonts w:ascii="Arial" w:cs="Arial" w:eastAsia="Arial" w:hAnsi="Arial"/>
          <w:color w:val="000000"/>
        </w:rPr>
      </w:pPr>
      <w:r w:rsidDel="00000000" w:rsidR="00000000" w:rsidRPr="00000000">
        <w:rPr>
          <w:rFonts w:ascii="Arial" w:cs="Arial" w:eastAsia="Arial" w:hAnsi="Arial"/>
          <w:color w:val="000000"/>
          <w:rtl w:val="0"/>
        </w:rPr>
        <w:t xml:space="preserve">Highlight any unproven performance requirements or other future risks associated with each approach, as well as the feasibility of addressing these risks in parallel with industrialization.</w:t>
      </w:r>
    </w:p>
    <w:p w:rsidR="00000000" w:rsidDel="00000000" w:rsidP="00000000" w:rsidRDefault="00000000" w:rsidRPr="00000000" w14:paraId="0000000A">
      <w:pPr>
        <w:numPr>
          <w:ilvl w:val="0"/>
          <w:numId w:val="2"/>
        </w:numPr>
        <w:spacing w:after="144" w:before="144" w:lineRule="auto"/>
        <w:ind w:left="714" w:hanging="357"/>
        <w:rPr>
          <w:rFonts w:ascii="Arial" w:cs="Arial" w:eastAsia="Arial" w:hAnsi="Arial"/>
          <w:color w:val="000000"/>
        </w:rPr>
      </w:pPr>
      <w:r w:rsidDel="00000000" w:rsidR="00000000" w:rsidRPr="00000000">
        <w:rPr>
          <w:rFonts w:ascii="Arial" w:cs="Arial" w:eastAsia="Arial" w:hAnsi="Arial"/>
          <w:color w:val="000000"/>
          <w:rtl w:val="0"/>
        </w:rPr>
        <w:t xml:space="preserve">Summarize the findings in a report addressed to AdV+ and A+ leadership. A consensus report is requested. </w:t>
      </w:r>
    </w:p>
    <w:p w:rsidR="00000000" w:rsidDel="00000000" w:rsidP="00000000" w:rsidRDefault="00000000" w:rsidRPr="00000000" w14:paraId="0000000B">
      <w:pPr>
        <w:spacing w:after="60" w:before="60" w:lineRule="auto"/>
        <w:ind w:left="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The panel received presentations from representative of the coating R&amp;D centres on September 14, 8:00 </w:t>
      </w:r>
      <w:r w:rsidDel="00000000" w:rsidR="00000000" w:rsidRPr="00000000">
        <w:rPr>
          <w:rtl w:val="0"/>
        </w:rPr>
        <w:t xml:space="preserve">PT</w:t>
      </w:r>
      <w:r w:rsidDel="00000000" w:rsidR="00000000" w:rsidRPr="00000000">
        <w:rPr>
          <w:rFonts w:ascii="Arial" w:cs="Arial" w:eastAsia="Arial" w:hAnsi="Arial"/>
          <w:color w:val="000000"/>
          <w:rtl w:val="0"/>
        </w:rPr>
        <w:t xml:space="preserve">, 17:00 C</w:t>
      </w:r>
      <w:r w:rsidDel="00000000" w:rsidR="00000000" w:rsidRPr="00000000">
        <w:rPr>
          <w:rtl w:val="0"/>
        </w:rPr>
        <w:t xml:space="preserve">ET,</w:t>
      </w:r>
      <w:r w:rsidDel="00000000" w:rsidR="00000000" w:rsidRPr="00000000">
        <w:rPr>
          <w:rFonts w:ascii="Arial" w:cs="Arial" w:eastAsia="Arial" w:hAnsi="Arial"/>
          <w:color w:val="000000"/>
          <w:rtl w:val="0"/>
        </w:rPr>
        <w:t xml:space="preserve"> </w:t>
      </w:r>
      <w:r w:rsidDel="00000000" w:rsidR="00000000" w:rsidRPr="00000000">
        <w:rPr>
          <w:rtl w:val="0"/>
        </w:rPr>
        <w:t xml:space="preserve">about </w:t>
      </w:r>
      <w:r w:rsidDel="00000000" w:rsidR="00000000" w:rsidRPr="00000000">
        <w:rPr>
          <w:rFonts w:ascii="Arial" w:cs="Arial" w:eastAsia="Arial" w:hAnsi="Arial"/>
          <w:color w:val="000000"/>
          <w:rtl w:val="0"/>
        </w:rPr>
        <w:t xml:space="preserve">SiN (presentation from Massimo Granata: </w:t>
      </w:r>
      <w:hyperlink r:id="rId7">
        <w:r w:rsidDel="00000000" w:rsidR="00000000" w:rsidRPr="00000000">
          <w:rPr>
            <w:rFonts w:ascii="Arial" w:cs="Arial" w:eastAsia="Arial" w:hAnsi="Arial"/>
            <w:color w:val="1155cc"/>
            <w:u w:val="single"/>
            <w:rtl w:val="0"/>
          </w:rPr>
          <w:t xml:space="preserve">https://dcc.ligo.org/LIGO-G2102033</w:t>
        </w:r>
      </w:hyperlink>
      <w:r w:rsidDel="00000000" w:rsidR="00000000" w:rsidRPr="00000000">
        <w:rPr>
          <w:rFonts w:ascii="Arial" w:cs="Arial" w:eastAsia="Arial" w:hAnsi="Arial"/>
          <w:color w:val="000000"/>
          <w:rtl w:val="0"/>
        </w:rPr>
        <w:t xml:space="preserve">) and September 17, 8:00 </w:t>
      </w:r>
      <w:r w:rsidDel="00000000" w:rsidR="00000000" w:rsidRPr="00000000">
        <w:rPr>
          <w:rtl w:val="0"/>
        </w:rPr>
        <w:t xml:space="preserve">PT, 17, CET, about </w:t>
      </w:r>
      <w:r w:rsidDel="00000000" w:rsidR="00000000" w:rsidRPr="00000000">
        <w:rPr>
          <w:rFonts w:ascii="Arial" w:cs="Arial" w:eastAsia="Arial" w:hAnsi="Arial"/>
          <w:color w:val="000000"/>
          <w:rtl w:val="0"/>
        </w:rPr>
        <w:t xml:space="preserve">Ti:Ge (presentation from Gabriele Vajente </w:t>
      </w:r>
      <w:hyperlink r:id="rId8">
        <w:r w:rsidDel="00000000" w:rsidR="00000000" w:rsidRPr="00000000">
          <w:rPr>
            <w:rFonts w:ascii="Arial" w:cs="Arial" w:eastAsia="Arial" w:hAnsi="Arial"/>
            <w:color w:val="1155cc"/>
            <w:u w:val="single"/>
            <w:rtl w:val="0"/>
          </w:rPr>
          <w:t xml:space="preserve">https://dcc.ligo.org/G2102042</w:t>
        </w:r>
      </w:hyperlink>
      <w:r w:rsidDel="00000000" w:rsidR="00000000" w:rsidRPr="00000000">
        <w:rPr>
          <w:rFonts w:ascii="Arial" w:cs="Arial" w:eastAsia="Arial" w:hAnsi="Arial"/>
          <w:color w:val="000000"/>
          <w:rtl w:val="0"/>
        </w:rPr>
        <w:t xml:space="preserve">). Each presentation was given to a meeting open to all members of the LIGO, Virgo and Kagra Collaborations which included an open Q&amp;A session.</w:t>
      </w:r>
    </w:p>
    <w:p w:rsidR="00000000" w:rsidDel="00000000" w:rsidP="00000000" w:rsidRDefault="00000000" w:rsidRPr="00000000" w14:paraId="0000000C">
      <w:pPr>
        <w:spacing w:after="60" w:before="60" w:lineRule="auto"/>
        <w:ind w:left="0" w:firstLine="0"/>
        <w:jc w:val="both"/>
        <w:rPr>
          <w:rFonts w:ascii="Arial" w:cs="Arial" w:eastAsia="Arial" w:hAnsi="Arial"/>
          <w:color w:val="000000"/>
        </w:rPr>
      </w:pPr>
      <w:r w:rsidDel="00000000" w:rsidR="00000000" w:rsidRPr="00000000">
        <w:rPr>
          <w:rFonts w:ascii="Arial" w:cs="Arial" w:eastAsia="Arial" w:hAnsi="Arial"/>
          <w:color w:val="000000"/>
          <w:rtl w:val="0"/>
        </w:rPr>
        <w:t xml:space="preserve">These materials and activities provided the panel with the material required to inform its assessments and findings reported below.</w:t>
      </w:r>
    </w:p>
    <w:p w:rsidR="00000000" w:rsidDel="00000000" w:rsidP="00000000" w:rsidRDefault="00000000" w:rsidRPr="00000000" w14:paraId="0000000D">
      <w:pPr>
        <w:spacing w:after="60" w:before="60" w:lineRule="auto"/>
        <w:ind w:left="0" w:firstLine="0"/>
        <w:jc w:val="both"/>
        <w:rPr>
          <w:rFonts w:ascii="Arial" w:cs="Arial" w:eastAsia="Arial" w:hAnsi="Arial"/>
          <w:color w:val="000000"/>
        </w:rPr>
      </w:pPr>
      <w:r w:rsidDel="00000000" w:rsidR="00000000" w:rsidRPr="00000000">
        <w:rPr>
          <w:rtl w:val="0"/>
        </w:rPr>
      </w:r>
    </w:p>
    <w:p w:rsidR="00000000" w:rsidDel="00000000" w:rsidP="00000000" w:rsidRDefault="00000000" w:rsidRPr="00000000" w14:paraId="0000000E">
      <w:pPr>
        <w:pStyle w:val="Heading1"/>
        <w:numPr>
          <w:ilvl w:val="0"/>
          <w:numId w:val="7"/>
        </w:numPr>
        <w:spacing w:before="60" w:lineRule="auto"/>
        <w:ind w:left="1080" w:hanging="360"/>
        <w:rPr>
          <w:rFonts w:ascii="Arial" w:cs="Arial" w:eastAsia="Arial" w:hAnsi="Arial"/>
          <w:b w:val="1"/>
          <w:color w:val="000000"/>
        </w:rPr>
      </w:pPr>
      <w:r w:rsidDel="00000000" w:rsidR="00000000" w:rsidRPr="00000000">
        <w:rPr>
          <w:rFonts w:ascii="Arial" w:cs="Arial" w:eastAsia="Arial" w:hAnsi="Arial"/>
          <w:b w:val="1"/>
          <w:color w:val="000000"/>
          <w:sz w:val="22"/>
          <w:szCs w:val="22"/>
          <w:rtl w:val="0"/>
        </w:rPr>
        <w:t xml:space="preserve">S</w:t>
      </w:r>
      <w:r w:rsidDel="00000000" w:rsidR="00000000" w:rsidRPr="00000000">
        <w:rPr>
          <w:rFonts w:ascii="Arial" w:cs="Arial" w:eastAsia="Arial" w:hAnsi="Arial"/>
          <w:b w:val="1"/>
          <w:smallCaps w:val="0"/>
          <w:color w:val="000000"/>
          <w:sz w:val="22"/>
          <w:szCs w:val="22"/>
          <w:rtl w:val="0"/>
        </w:rPr>
        <w:t xml:space="preserve">iN:</w:t>
      </w:r>
      <w:r w:rsidDel="00000000" w:rsidR="00000000" w:rsidRPr="00000000">
        <w:rPr>
          <w:rFonts w:ascii="Arial" w:cs="Arial" w:eastAsia="Arial" w:hAnsi="Arial"/>
          <w:b w:val="1"/>
          <w:smallCaps w:val="0"/>
          <w:color w:val="000000"/>
          <w:rtl w:val="0"/>
        </w:rPr>
        <w:t xml:space="preserve"> </w:t>
      </w:r>
      <w:r w:rsidDel="00000000" w:rsidR="00000000" w:rsidRPr="00000000">
        <w:rPr>
          <w:rtl w:val="0"/>
        </w:rPr>
      </w:r>
    </w:p>
    <w:p w:rsidR="00000000" w:rsidDel="00000000" w:rsidP="00000000" w:rsidRDefault="00000000" w:rsidRPr="00000000" w14:paraId="0000000F">
      <w:pPr>
        <w:pStyle w:val="Heading2"/>
        <w:numPr>
          <w:ilvl w:val="1"/>
          <w:numId w:val="7"/>
        </w:numPr>
        <w:ind w:left="1440" w:hanging="360"/>
        <w:rPr>
          <w:b w:val="1"/>
          <w:color w:val="000000"/>
        </w:rPr>
      </w:pPr>
      <w:bookmarkStart w:colFirst="0" w:colLast="0" w:name="_heading=h.8k1rvdnziqqy" w:id="0"/>
      <w:bookmarkEnd w:id="0"/>
      <w:r w:rsidDel="00000000" w:rsidR="00000000" w:rsidRPr="00000000">
        <w:rPr>
          <w:b w:val="1"/>
          <w:color w:val="000000"/>
          <w:rtl w:val="0"/>
        </w:rPr>
        <w:t xml:space="preserve">Status and characteristics</w:t>
      </w:r>
    </w:p>
    <w:p w:rsidR="00000000" w:rsidDel="00000000" w:rsidP="00000000" w:rsidRDefault="00000000" w:rsidRPr="00000000" w14:paraId="00000010">
      <w:pPr>
        <w:jc w:val="both"/>
        <w:rPr/>
      </w:pPr>
      <w:r w:rsidDel="00000000" w:rsidR="00000000" w:rsidRPr="00000000">
        <w:rPr>
          <w:rtl w:val="0"/>
        </w:rPr>
        <w:t xml:space="preserve">LMA has been developing ion-beam sputtered (IBS) silicon nitride (SiNx) coatings since late 2016 (G1701420, G1701598 / VIR-0847A-17 / </w:t>
      </w:r>
      <w:hyperlink r:id="rId9">
        <w:r w:rsidDel="00000000" w:rsidR="00000000" w:rsidRPr="00000000">
          <w:rPr>
            <w:rtl w:val="0"/>
          </w:rPr>
          <w:t xml:space="preserve">https://hal.archives-ouvertes.fr/tel-02475821</w:t>
        </w:r>
      </w:hyperlink>
      <w:r w:rsidDel="00000000" w:rsidR="00000000" w:rsidRPr="00000000">
        <w:rPr>
          <w:rtl w:val="0"/>
        </w:rPr>
        <w:t xml:space="preserve">), and published first results in 2019 (doi.org/10.1364/AO.377293). The loss angle of silicon nitride coatings was shown to be a factor 3 lower than that of tantala-titania layers of advanced detectors, but their optical loss was considerably higher.</w:t>
        <w:br w:type="textWrapping"/>
        <w:t xml:space="preserve">Since 2019, some campaigns of optimization were performed (though most of the effort was concentrated in the time period from February to July 2021), by changing the growth parameters of the thin films: single layers and high-reflection ETM coatings were produced and characterized for optical absorption, scatter, mechanical loss. Annealing tests at high temperatures (500 to 1000 °C) were also performed. As a result of the last optimization campaign in 2021, the refractive index of as-deposited single SiNx layers increased to 2.05 at 1064 nm, and their extinction coefficient due to optical absorption decreased to 1.2e-5; after annealing, their extinction decreased by a factor of 2. </w:t>
        <w:br w:type="textWrapping"/>
        <w:t xml:space="preserve">Before annealing, SiNx/SiO2 ETM coatings (designed for T = 5 ppm at 1064 nm) feature an absorption of 44 +/- 2 ppm, and 60 +/- 15 ppm of scatter, likely due to the many observed point-like defects (with a radius of the order of 1 to 10 microns). After annealing, their optical loss increased and some small defects of circular delamination (‘bubble-like’) appear: about 10 of such defects (with a radius of about 10 to 50 microns) were observed on 1” samples after treatment at 900 °C. A summary of results obtained on SiNx coatings is available in VIR-1032A-21.</w:t>
      </w:r>
    </w:p>
    <w:p w:rsidR="00000000" w:rsidDel="00000000" w:rsidP="00000000" w:rsidRDefault="00000000" w:rsidRPr="00000000" w14:paraId="00000011">
      <w:pPr>
        <w:pStyle w:val="Heading2"/>
        <w:numPr>
          <w:ilvl w:val="1"/>
          <w:numId w:val="7"/>
        </w:numPr>
        <w:ind w:left="1440" w:hanging="360"/>
        <w:rPr>
          <w:rFonts w:ascii="Arial" w:cs="Arial" w:eastAsia="Arial" w:hAnsi="Arial"/>
          <w:b w:val="1"/>
          <w:color w:val="000000"/>
        </w:rPr>
      </w:pPr>
      <w:bookmarkStart w:colFirst="0" w:colLast="0" w:name="_heading=h.7l7t2ko6ezhv" w:id="1"/>
      <w:bookmarkEnd w:id="1"/>
      <w:r w:rsidDel="00000000" w:rsidR="00000000" w:rsidRPr="00000000">
        <w:rPr>
          <w:rtl w:val="0"/>
        </w:rPr>
        <w:t xml:space="preserve">Coating Thermal Noise</w:t>
      </w:r>
    </w:p>
    <w:p w:rsidR="00000000" w:rsidDel="00000000" w:rsidP="00000000" w:rsidRDefault="00000000" w:rsidRPr="00000000" w14:paraId="00000012">
      <w:pPr>
        <w:jc w:val="both"/>
        <w:rPr/>
      </w:pPr>
      <w:r w:rsidDel="00000000" w:rsidR="00000000" w:rsidRPr="00000000">
        <w:rPr>
          <w:rtl w:val="0"/>
        </w:rPr>
        <w:t xml:space="preserve">Based on past experience, which showed that measured CTN of HR stacks was always sensibly higher than what expected from loss angle measurements of single layers, the Virgo Coating R&amp;D Collaboration (VCR&amp;D) chose not to predict the CTN associated with its SiNx/SiO2 ETM coatings. Instead, several SiNx/SiO2 ETM coating samples were produced and treated at different temperatures for direct CTN measurements in a specific facility at MIT. Samples will be available at MIT by the first half of November 2021.</w:t>
      </w:r>
    </w:p>
    <w:p w:rsidR="00000000" w:rsidDel="00000000" w:rsidP="00000000" w:rsidRDefault="00000000" w:rsidRPr="00000000" w14:paraId="00000013">
      <w:pPr>
        <w:pStyle w:val="Heading2"/>
        <w:numPr>
          <w:ilvl w:val="1"/>
          <w:numId w:val="7"/>
        </w:numPr>
        <w:ind w:left="1440" w:hanging="360"/>
        <w:jc w:val="both"/>
        <w:rPr>
          <w:u w:val="none"/>
        </w:rPr>
      </w:pPr>
      <w:bookmarkStart w:colFirst="0" w:colLast="0" w:name="_heading=h.zahloqt1inwa" w:id="2"/>
      <w:bookmarkEnd w:id="2"/>
      <w:r w:rsidDel="00000000" w:rsidR="00000000" w:rsidRPr="00000000">
        <w:rPr>
          <w:rtl w:val="0"/>
        </w:rPr>
        <w:t xml:space="preserve">Readiness</w:t>
      </w:r>
    </w:p>
    <w:p w:rsidR="00000000" w:rsidDel="00000000" w:rsidP="00000000" w:rsidRDefault="00000000" w:rsidRPr="00000000" w14:paraId="00000014">
      <w:pPr>
        <w:jc w:val="both"/>
        <w:rPr>
          <w:b w:val="1"/>
        </w:rPr>
      </w:pPr>
      <w:r w:rsidDel="00000000" w:rsidR="00000000" w:rsidRPr="00000000">
        <w:rPr>
          <w:rtl w:val="0"/>
        </w:rPr>
        <w:t xml:space="preserve">IBS SiNx must be further optimized, in order to decrease their optical loss and to remove the few remaining defects after annealing. Nevertheless, provided that the issue of delamination defects is solved, IBS SiNx coatings could be immediately used in a multi-material ternary design of low optical loss and CTN reduced </w:t>
      </w:r>
      <w:r w:rsidDel="00000000" w:rsidR="00000000" w:rsidRPr="00000000">
        <w:rPr>
          <w:rtl w:val="0"/>
        </w:rPr>
        <w:t xml:space="preserve">by a factor of 2</w:t>
      </w:r>
      <w:r w:rsidDel="00000000" w:rsidR="00000000" w:rsidRPr="00000000">
        <w:rPr>
          <w:rtl w:val="0"/>
        </w:rPr>
        <w:t xml:space="preserve"> in power, even at their current development stage: see VIR-1032A-21, G2101842, G2101040, G2100429, G2100124, G2000218 and doi.org/10.1103/PhysRevResearch.3.023172 for more details.</w:t>
      </w:r>
      <w:r w:rsidDel="00000000" w:rsidR="00000000" w:rsidRPr="00000000">
        <w:rPr>
          <w:rtl w:val="0"/>
        </w:rPr>
      </w:r>
    </w:p>
    <w:p w:rsidR="00000000" w:rsidDel="00000000" w:rsidP="00000000" w:rsidRDefault="00000000" w:rsidRPr="00000000" w14:paraId="00000015">
      <w:pPr>
        <w:pStyle w:val="Heading2"/>
        <w:numPr>
          <w:ilvl w:val="1"/>
          <w:numId w:val="7"/>
        </w:numPr>
        <w:ind w:left="1440" w:hanging="360"/>
        <w:jc w:val="both"/>
        <w:rPr>
          <w:u w:val="none"/>
        </w:rPr>
      </w:pPr>
      <w:bookmarkStart w:colFirst="0" w:colLast="0" w:name="_heading=h.sk1o8nunb866" w:id="3"/>
      <w:bookmarkEnd w:id="3"/>
      <w:r w:rsidDel="00000000" w:rsidR="00000000" w:rsidRPr="00000000">
        <w:rPr>
          <w:rtl w:val="0"/>
        </w:rPr>
        <w:t xml:space="preserve">Risks and unknowns</w:t>
      </w:r>
    </w:p>
    <w:p w:rsidR="00000000" w:rsidDel="00000000" w:rsidP="00000000" w:rsidRDefault="00000000" w:rsidRPr="00000000" w14:paraId="00000016">
      <w:pPr>
        <w:jc w:val="both"/>
        <w:rPr/>
      </w:pPr>
      <w:r w:rsidDel="00000000" w:rsidR="00000000" w:rsidRPr="00000000">
        <w:rPr>
          <w:rtl w:val="0"/>
        </w:rPr>
        <w:t xml:space="preserve">Although some problems have already been identified and will be treated in the short-term future, the cause of high optical loss in IBS SiNx coatings has not been unequivocally identified yet. Similarly, although some hypotheses are being tested right now, the cause of delamination defects upon annealing is unknown to date.</w:t>
      </w:r>
    </w:p>
    <w:p w:rsidR="00000000" w:rsidDel="00000000" w:rsidP="00000000" w:rsidRDefault="00000000" w:rsidRPr="00000000" w14:paraId="00000017">
      <w:pPr>
        <w:pStyle w:val="Heading2"/>
        <w:numPr>
          <w:ilvl w:val="1"/>
          <w:numId w:val="7"/>
        </w:numPr>
        <w:ind w:left="1440" w:hanging="360"/>
        <w:jc w:val="both"/>
        <w:rPr/>
      </w:pPr>
      <w:bookmarkStart w:colFirst="0" w:colLast="0" w:name="_heading=h.772kxyaymsz2" w:id="4"/>
      <w:bookmarkEnd w:id="4"/>
      <w:r w:rsidDel="00000000" w:rsidR="00000000" w:rsidRPr="00000000">
        <w:rPr>
          <w:rtl w:val="0"/>
        </w:rPr>
        <w:t xml:space="preserve">Pros</w:t>
      </w:r>
    </w:p>
    <w:p w:rsidR="00000000" w:rsidDel="00000000" w:rsidP="00000000" w:rsidRDefault="00000000" w:rsidRPr="00000000" w14:paraId="00000018">
      <w:pPr>
        <w:pStyle w:val="Heading2"/>
        <w:ind w:firstLine="72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rxvljze40v5x" w:id="5"/>
      <w:bookmarkEnd w:id="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Advantages of IBS SiNx developed at LMA </w:t>
      </w:r>
      <w:r w:rsidDel="00000000" w:rsidR="00000000" w:rsidRPr="00000000">
        <w:rPr>
          <w:b w:val="0"/>
          <w:rtl w:val="0"/>
        </w:rPr>
        <w:t xml:space="preserve">include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9">
      <w:pPr>
        <w:pStyle w:val="Heading2"/>
        <w:numPr>
          <w:ilvl w:val="0"/>
          <w:numId w:val="6"/>
        </w:numPr>
        <w:spacing w:after="0" w:afterAutospacing="0"/>
        <w:ind w:left="1440" w:hanging="36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5xfzjisu27kt" w:id="6"/>
      <w:bookmarkEnd w:id="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high refractive index, </w:t>
      </w:r>
    </w:p>
    <w:p w:rsidR="00000000" w:rsidDel="00000000" w:rsidP="00000000" w:rsidRDefault="00000000" w:rsidRPr="00000000" w14:paraId="0000001A">
      <w:pPr>
        <w:pStyle w:val="Heading2"/>
        <w:numPr>
          <w:ilvl w:val="0"/>
          <w:numId w:val="6"/>
        </w:numPr>
        <w:spacing w:after="0" w:afterAutospacing="0" w:before="0" w:beforeAutospacing="0"/>
        <w:ind w:left="1440" w:hanging="36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k6vcox7vysrp" w:id="7"/>
      <w:bookmarkEnd w:id="7"/>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low mechanical loss (a factor of 3 lower than high-index layers </w:t>
      </w:r>
      <w:r w:rsidDel="00000000" w:rsidR="00000000" w:rsidRPr="00000000">
        <w:rPr>
          <w:b w:val="0"/>
          <w:rtl w:val="0"/>
        </w:rPr>
        <w:t xml:space="preserve">used in</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current detectors) and </w:t>
      </w:r>
    </w:p>
    <w:p w:rsidR="00000000" w:rsidDel="00000000" w:rsidP="00000000" w:rsidRDefault="00000000" w:rsidRPr="00000000" w14:paraId="0000001B">
      <w:pPr>
        <w:pStyle w:val="Heading2"/>
        <w:numPr>
          <w:ilvl w:val="0"/>
          <w:numId w:val="6"/>
        </w:numPr>
        <w:spacing w:before="0" w:beforeAutospacing="0"/>
        <w:ind w:left="1440" w:hanging="36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f89n2lwqga8k" w:id="8"/>
      <w:bookmarkEnd w:id="8"/>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phase stability up to at least 1000 °C. </w:t>
      </w:r>
    </w:p>
    <w:p w:rsidR="00000000" w:rsidDel="00000000" w:rsidP="00000000" w:rsidRDefault="00000000" w:rsidRPr="00000000" w14:paraId="0000001C">
      <w:pPr>
        <w:pStyle w:val="Heading2"/>
        <w:ind w:firstLine="720"/>
        <w:jc w:val="both"/>
        <w:rPr>
          <w:b w:val="0"/>
        </w:rPr>
      </w:pPr>
      <w:bookmarkStart w:colFirst="0" w:colLast="0" w:name="_heading=h.bqe3rrqbpv8n" w:id="9"/>
      <w:bookmarkEnd w:id="9"/>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latter point implies that SiNx/SiO2 ETM coatings can be annealed at 900 °C or higher without crystallization, the upper limit temperature being rather set by the softening point of the substrate. The consequence of such high-temperature annealing would be a further decrease of CTN in the ETM stacks, due to a relevant decrease of the loss angle of SiO2 layers as well.</w:t>
      </w:r>
      <w:r w:rsidDel="00000000" w:rsidR="00000000" w:rsidRPr="00000000">
        <w:rPr>
          <w:rtl w:val="0"/>
        </w:rPr>
      </w:r>
    </w:p>
    <w:p w:rsidR="00000000" w:rsidDel="00000000" w:rsidP="00000000" w:rsidRDefault="00000000" w:rsidRPr="00000000" w14:paraId="0000001D">
      <w:pPr>
        <w:pStyle w:val="Heading2"/>
        <w:numPr>
          <w:ilvl w:val="1"/>
          <w:numId w:val="7"/>
        </w:numPr>
        <w:ind w:left="1440" w:hanging="360"/>
        <w:rPr>
          <w:rFonts w:ascii="Arial" w:cs="Arial" w:eastAsia="Arial" w:hAnsi="Arial"/>
          <w:b w:val="1"/>
          <w:color w:val="000000"/>
          <w:u w:val="none"/>
        </w:rPr>
      </w:pPr>
      <w:bookmarkStart w:colFirst="0" w:colLast="0" w:name="_heading=h.i4jyb82mz98l" w:id="10"/>
      <w:bookmarkEnd w:id="10"/>
      <w:r w:rsidDel="00000000" w:rsidR="00000000" w:rsidRPr="00000000">
        <w:rPr>
          <w:rFonts w:ascii="Arial" w:cs="Arial" w:eastAsia="Arial" w:hAnsi="Arial"/>
          <w:b w:val="1"/>
          <w:color w:val="000000"/>
          <w:rtl w:val="0"/>
        </w:rPr>
        <w:t xml:space="preserve">Cons</w:t>
      </w:r>
      <w:r w:rsidDel="00000000" w:rsidR="00000000" w:rsidRPr="00000000">
        <w:rPr>
          <w:rtl w:val="0"/>
        </w:rPr>
      </w:r>
    </w:p>
    <w:p w:rsidR="00000000" w:rsidDel="00000000" w:rsidP="00000000" w:rsidRDefault="00000000" w:rsidRPr="00000000" w14:paraId="0000001E">
      <w:pPr>
        <w:pStyle w:val="Heading2"/>
        <w:ind w:firstLine="720"/>
        <w:rPr>
          <w:rFonts w:ascii="Arial" w:cs="Arial" w:eastAsia="Arial" w:hAnsi="Arial"/>
          <w:b w:val="0"/>
          <w:i w:val="0"/>
          <w:smallCaps w:val="0"/>
          <w:strike w:val="0"/>
          <w:color w:val="000000"/>
          <w:sz w:val="22"/>
          <w:szCs w:val="22"/>
          <w:u w:val="none"/>
          <w:shd w:fill="auto" w:val="clear"/>
          <w:vertAlign w:val="baseline"/>
        </w:rPr>
      </w:pPr>
      <w:bookmarkStart w:colFirst="0" w:colLast="0" w:name="_heading=h.7u9fg8w8clwu" w:id="11"/>
      <w:bookmarkEnd w:id="11"/>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Disadvantages of IBS SiNx developed at LMA </w:t>
      </w:r>
      <w:r w:rsidDel="00000000" w:rsidR="00000000" w:rsidRPr="00000000">
        <w:rPr>
          <w:b w:val="0"/>
          <w:rtl w:val="0"/>
        </w:rPr>
        <w:t xml:space="preserve">include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1F">
      <w:pPr>
        <w:pStyle w:val="Heading2"/>
        <w:numPr>
          <w:ilvl w:val="0"/>
          <w:numId w:val="4"/>
        </w:numPr>
        <w:spacing w:after="0" w:afterAutospacing="0"/>
        <w:ind w:left="1440" w:hanging="360"/>
        <w:rPr>
          <w:rFonts w:ascii="Arial" w:cs="Arial" w:eastAsia="Arial" w:hAnsi="Arial"/>
          <w:b w:val="0"/>
          <w:i w:val="0"/>
          <w:smallCaps w:val="0"/>
          <w:strike w:val="0"/>
          <w:color w:val="000000"/>
          <w:sz w:val="22"/>
          <w:szCs w:val="22"/>
          <w:u w:val="none"/>
          <w:shd w:fill="auto" w:val="clear"/>
          <w:vertAlign w:val="baseline"/>
        </w:rPr>
      </w:pPr>
      <w:bookmarkStart w:colFirst="0" w:colLast="0" w:name="_heading=h.eb4sh7oeaeu0" w:id="12"/>
      <w:bookmarkEnd w:id="12"/>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high optical absorption and scatter, </w:t>
      </w:r>
    </w:p>
    <w:p w:rsidR="00000000" w:rsidDel="00000000" w:rsidP="00000000" w:rsidRDefault="00000000" w:rsidRPr="00000000" w14:paraId="00000020">
      <w:pPr>
        <w:pStyle w:val="Heading2"/>
        <w:numPr>
          <w:ilvl w:val="0"/>
          <w:numId w:val="4"/>
        </w:numPr>
        <w:spacing w:after="0" w:afterAutospacing="0" w:before="0" w:beforeAutospacing="0"/>
        <w:ind w:left="1440" w:hanging="360"/>
        <w:rPr>
          <w:rFonts w:ascii="Arial" w:cs="Arial" w:eastAsia="Arial" w:hAnsi="Arial"/>
          <w:b w:val="0"/>
          <w:i w:val="0"/>
          <w:smallCaps w:val="0"/>
          <w:strike w:val="0"/>
          <w:sz w:val="22"/>
          <w:szCs w:val="22"/>
          <w:u w:val="none"/>
          <w:shd w:fill="auto" w:val="clear"/>
          <w:vertAlign w:val="baseline"/>
        </w:rPr>
      </w:pPr>
      <w:bookmarkStart w:colFirst="0" w:colLast="0" w:name="_heading=h.47mk4nuw7rde" w:id="13"/>
      <w:bookmarkEnd w:id="13"/>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presence of </w:t>
      </w:r>
      <w:r w:rsidDel="00000000" w:rsidR="00000000" w:rsidRPr="00000000">
        <w:rPr>
          <w:b w:val="0"/>
          <w:rtl w:val="0"/>
        </w:rPr>
        <w:t xml:space="preserve">some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defects after annealing</w:t>
      </w:r>
      <w:r w:rsidDel="00000000" w:rsidR="00000000" w:rsidRPr="00000000">
        <w:rPr>
          <w:rFonts w:ascii="Arial" w:cs="Arial" w:eastAsia="Arial" w:hAnsi="Arial"/>
          <w:b w:val="0"/>
          <w:i w:val="0"/>
          <w:smallCaps w:val="0"/>
          <w:strike w:val="0"/>
          <w:color w:val="2e2e2e"/>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21">
      <w:pPr>
        <w:pStyle w:val="Heading1"/>
        <w:numPr>
          <w:ilvl w:val="0"/>
          <w:numId w:val="7"/>
        </w:numPr>
        <w:ind w:left="1080" w:hanging="360"/>
        <w:rPr>
          <w:rFonts w:ascii="Arial" w:cs="Arial" w:eastAsia="Arial" w:hAnsi="Arial"/>
          <w:b w:val="1"/>
          <w:color w:val="000000"/>
        </w:rPr>
      </w:pPr>
      <w:r w:rsidDel="00000000" w:rsidR="00000000" w:rsidRPr="00000000">
        <w:rPr>
          <w:rFonts w:ascii="Arial" w:cs="Arial" w:eastAsia="Arial" w:hAnsi="Arial"/>
          <w:b w:val="1"/>
          <w:color w:val="000000"/>
          <w:rtl w:val="0"/>
        </w:rPr>
        <w:t xml:space="preserve">Ti:</w:t>
      </w:r>
      <w:r w:rsidDel="00000000" w:rsidR="00000000" w:rsidRPr="00000000">
        <w:rPr>
          <w:rFonts w:ascii="Arial" w:cs="Arial" w:eastAsia="Arial" w:hAnsi="Arial"/>
          <w:b w:val="1"/>
          <w:smallCaps w:val="0"/>
          <w:color w:val="000000"/>
          <w:rtl w:val="0"/>
        </w:rPr>
        <w:t xml:space="preserve">GeO2</w:t>
      </w:r>
      <w:r w:rsidDel="00000000" w:rsidR="00000000" w:rsidRPr="00000000">
        <w:rPr>
          <w:rtl w:val="0"/>
        </w:rPr>
      </w:r>
    </w:p>
    <w:p w:rsidR="00000000" w:rsidDel="00000000" w:rsidP="00000000" w:rsidRDefault="00000000" w:rsidRPr="00000000" w14:paraId="00000022">
      <w:pPr>
        <w:pStyle w:val="Heading2"/>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20" w:before="60" w:line="288" w:lineRule="auto"/>
        <w:ind w:left="1440" w:right="0" w:hanging="360"/>
        <w:jc w:val="both"/>
      </w:pPr>
      <w:bookmarkStart w:colFirst="0" w:colLast="0" w:name="_heading=h.vi6w419opuad" w:id="14"/>
      <w:bookmarkEnd w:id="14"/>
      <w:r w:rsidDel="00000000" w:rsidR="00000000" w:rsidRPr="00000000">
        <w:rPr>
          <w:rFonts w:ascii="Arial" w:cs="Arial" w:eastAsia="Arial" w:hAnsi="Arial"/>
          <w:b w:val="1"/>
          <w:color w:val="000000"/>
          <w:rtl w:val="0"/>
        </w:rPr>
        <w:t xml:space="preserve">Status and characteristics</w:t>
      </w:r>
      <w:r w:rsidDel="00000000" w:rsidR="00000000" w:rsidRPr="00000000">
        <w:rPr>
          <w:rtl w:val="0"/>
        </w:rPr>
      </w:r>
    </w:p>
    <w:p w:rsidR="00000000" w:rsidDel="00000000" w:rsidP="00000000" w:rsidRDefault="00000000" w:rsidRPr="00000000" w14:paraId="00000023">
      <w:pPr>
        <w:pStyle w:val="Heading2"/>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88" w:lineRule="auto"/>
        <w:ind w:right="0" w:firstLine="72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60ax6esrfvxq" w:id="15"/>
      <w:bookmarkEnd w:id="15"/>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Thin films containing a mixture of titanium oxide (titania) and germanium oxide (germania) have been co-sputtered, using a Veeco Spector system at Colorado State University (CSU). Metal targets were used for both materials, sputtered with an Argon ion beam in a reactive oxygen atmosphere. Several different concentrations of titanium oxide were initially tested, and the best one, in terms of lowest predicted Brownian noise, was found to be 44% titania and 56% germania (atomic percentage). The content of the film was measured by Rutherford Backscattering Spectrometry.</w:t>
      </w:r>
    </w:p>
    <w:p w:rsidR="00000000" w:rsidDel="00000000" w:rsidP="00000000" w:rsidRDefault="00000000" w:rsidRPr="00000000" w14:paraId="00000024">
      <w:pPr>
        <w:pStyle w:val="Heading2"/>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88" w:lineRule="auto"/>
        <w:ind w:right="0" w:firstLine="720"/>
        <w:jc w:val="both"/>
        <w:rPr>
          <w:rFonts w:ascii="Arial" w:cs="Arial" w:eastAsia="Arial" w:hAnsi="Arial"/>
          <w:b w:val="0"/>
          <w:i w:val="0"/>
          <w:smallCaps w:val="0"/>
          <w:strike w:val="0"/>
          <w:color w:val="000000"/>
          <w:sz w:val="22"/>
          <w:szCs w:val="22"/>
          <w:u w:val="none"/>
          <w:shd w:fill="auto" w:val="clear"/>
          <w:vertAlign w:val="baseline"/>
        </w:rPr>
      </w:pPr>
      <w:bookmarkStart w:colFirst="0" w:colLast="0" w:name="_heading=h.oilulytvr882" w:id="16"/>
      <w:bookmarkEnd w:id="16"/>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lowest mechanical loss angle, for a film that is still amorphous, was obtained after annealing the material at 600</w:t>
      </w:r>
      <w:r w:rsidDel="00000000" w:rsidR="00000000" w:rsidRPr="00000000">
        <w:rPr>
          <w:rFonts w:ascii="Arial" w:cs="Arial" w:eastAsia="Arial" w:hAnsi="Arial"/>
          <w:b w:val="0"/>
          <w:i w:val="0"/>
          <w:smallCaps w:val="0"/>
          <w:strike w:val="0"/>
          <w:color w:val="000000"/>
          <w:sz w:val="22"/>
          <w:szCs w:val="22"/>
          <w:u w:val="none"/>
          <w:shd w:fill="auto" w:val="clear"/>
          <w:vertAlign w:val="superscript"/>
          <w:rtl w:val="0"/>
        </w:rPr>
        <w:t xml:space="preserve">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 for 100 hours. The main results are reported in [1]. The mechanical losses of the materials were measured from thin films (few hundred nanometers) deposited on 75-mm-diameter and 1-mm-thick disks, using a gentle nodal suspension to measure modal ringdowns [2]. The ringdown data were analyzed with a model that could extract independently the bulk and shear loss angles [3,4]. Figure 1 shows the best fits to the measured data, including the loss angle for a silica film annealed in the same way. Table 1 summarizes all the optical and mechanical properties measured on the single layer films.</w:t>
      </w:r>
    </w:p>
    <w:p w:rsidR="00000000" w:rsidDel="00000000" w:rsidP="00000000" w:rsidRDefault="00000000" w:rsidRPr="00000000" w14:paraId="00000025">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0" w:line="288" w:lineRule="auto"/>
        <w:ind w:left="567" w:right="0" w:firstLine="0"/>
        <w:jc w:val="center"/>
        <w:rPr>
          <w:rFonts w:ascii="Arial" w:cs="Arial" w:eastAsia="Arial" w:hAnsi="Arial"/>
          <w:b w:val="0"/>
          <w:i w:val="0"/>
          <w:smallCaps w:val="0"/>
          <w:strike w:val="0"/>
          <w:color w:val="4472c4"/>
          <w:sz w:val="22"/>
          <w:szCs w:val="22"/>
          <w:u w:val="none"/>
          <w:shd w:fill="auto" w:val="clear"/>
          <w:vertAlign w:val="baseline"/>
        </w:rPr>
      </w:pPr>
      <w:r w:rsidDel="00000000" w:rsidR="00000000" w:rsidRPr="00000000">
        <w:rPr>
          <w:rFonts w:ascii="Arial" w:cs="Arial" w:eastAsia="Arial" w:hAnsi="Arial"/>
          <w:b w:val="0"/>
          <w:i w:val="0"/>
          <w:smallCaps w:val="0"/>
          <w:strike w:val="0"/>
          <w:color w:val="4472c4"/>
          <w:sz w:val="22"/>
          <w:szCs w:val="22"/>
          <w:u w:val="none"/>
          <w:shd w:fill="auto" w:val="clear"/>
          <w:vertAlign w:val="baseline"/>
        </w:rPr>
        <w:drawing>
          <wp:inline distB="0" distT="0" distL="0" distR="0">
            <wp:extent cx="3086100" cy="2286000"/>
            <wp:effectExtent b="0" l="0" r="0" t="0"/>
            <wp:docPr id="3"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3086100" cy="2286000"/>
                    </a:xfrm>
                    <a:prstGeom prst="rect"/>
                    <a:ln/>
                  </pic:spPr>
                </pic:pic>
              </a:graphicData>
            </a:graphic>
          </wp:inline>
        </w:drawing>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67" w:right="0" w:firstLine="0"/>
        <w:jc w:val="left"/>
        <w:rPr>
          <w:rFonts w:ascii="Arial" w:cs="Arial" w:eastAsia="Arial" w:hAnsi="Arial"/>
          <w:b w:val="0"/>
          <w:i w:val="1"/>
          <w:smallCaps w:val="0"/>
          <w:strike w:val="0"/>
          <w:color w:val="44546a"/>
          <w:sz w:val="18"/>
          <w:szCs w:val="18"/>
          <w:u w:val="none"/>
          <w:shd w:fill="auto" w:val="clear"/>
          <w:vertAlign w:val="baseline"/>
        </w:rPr>
      </w:pPr>
      <w:r w:rsidDel="00000000" w:rsidR="00000000" w:rsidRPr="00000000">
        <w:rPr>
          <w:rFonts w:ascii="Calibri" w:cs="Calibri" w:eastAsia="Calibri" w:hAnsi="Calibri"/>
          <w:i w:val="1"/>
          <w:color w:val="44546a"/>
          <w:sz w:val="18"/>
          <w:szCs w:val="18"/>
          <w:rtl w:val="0"/>
        </w:rPr>
        <w:t xml:space="preserve">Figure</w:t>
      </w:r>
      <w:r w:rsidDel="00000000" w:rsidR="00000000" w:rsidRPr="00000000">
        <w:rPr>
          <w:rFonts w:ascii="Arial" w:cs="Arial" w:eastAsia="Arial" w:hAnsi="Arial"/>
          <w:b w:val="0"/>
          <w:i w:val="1"/>
          <w:smallCaps w:val="0"/>
          <w:strike w:val="0"/>
          <w:color w:val="44546a"/>
          <w:sz w:val="18"/>
          <w:szCs w:val="18"/>
          <w:u w:val="none"/>
          <w:shd w:fill="auto" w:val="clear"/>
          <w:vertAlign w:val="baseline"/>
          <w:rtl w:val="0"/>
        </w:rPr>
        <w:t xml:space="preserve"> 1. Estimated bulk and shear loss angles, from measurements on single layers of titania-germania and silica, annealed at 600</w:t>
      </w:r>
      <w:r w:rsidDel="00000000" w:rsidR="00000000" w:rsidRPr="00000000">
        <w:rPr>
          <w:rFonts w:ascii="Arial" w:cs="Arial" w:eastAsia="Arial" w:hAnsi="Arial"/>
          <w:b w:val="0"/>
          <w:i w:val="1"/>
          <w:smallCaps w:val="0"/>
          <w:strike w:val="0"/>
          <w:color w:val="44546a"/>
          <w:sz w:val="18"/>
          <w:szCs w:val="18"/>
          <w:u w:val="none"/>
          <w:shd w:fill="auto" w:val="clear"/>
          <w:vertAlign w:val="superscript"/>
          <w:rtl w:val="0"/>
        </w:rPr>
        <w:t xml:space="preserve">O</w:t>
      </w:r>
      <w:r w:rsidDel="00000000" w:rsidR="00000000" w:rsidRPr="00000000">
        <w:rPr>
          <w:rFonts w:ascii="Arial" w:cs="Arial" w:eastAsia="Arial" w:hAnsi="Arial"/>
          <w:b w:val="0"/>
          <w:i w:val="1"/>
          <w:smallCaps w:val="0"/>
          <w:strike w:val="0"/>
          <w:color w:val="44546a"/>
          <w:sz w:val="18"/>
          <w:szCs w:val="18"/>
          <w:u w:val="none"/>
          <w:shd w:fill="auto" w:val="clear"/>
          <w:vertAlign w:val="baseline"/>
          <w:rtl w:val="0"/>
        </w:rPr>
        <w:t xml:space="preserve">C for 100 hours. Loss angles were measured in the frequency range indicated by the solid lines, while the dashed lines are extrapolations.</w:t>
      </w:r>
    </w:p>
    <w:p w:rsidR="00000000" w:rsidDel="00000000" w:rsidP="00000000" w:rsidRDefault="00000000" w:rsidRPr="00000000" w14:paraId="00000027">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67" w:right="0" w:firstLine="0"/>
        <w:jc w:val="left"/>
        <w:rPr>
          <w:rFonts w:ascii="Arial" w:cs="Arial" w:eastAsia="Arial" w:hAnsi="Arial"/>
          <w:b w:val="0"/>
          <w:i w:val="1"/>
          <w:smallCaps w:val="0"/>
          <w:strike w:val="0"/>
          <w:color w:val="44546a"/>
          <w:sz w:val="18"/>
          <w:szCs w:val="18"/>
          <w:u w:val="none"/>
          <w:shd w:fill="auto" w:val="clear"/>
          <w:vertAlign w:val="baseline"/>
        </w:rPr>
      </w:pPr>
      <w:r w:rsidDel="00000000" w:rsidR="00000000" w:rsidRPr="00000000">
        <w:rPr>
          <w:rFonts w:ascii="Arial" w:cs="Arial" w:eastAsia="Arial" w:hAnsi="Arial"/>
          <w:b w:val="0"/>
          <w:i w:val="1"/>
          <w:smallCaps w:val="0"/>
          <w:strike w:val="0"/>
          <w:color w:val="44546a"/>
          <w:sz w:val="18"/>
          <w:szCs w:val="18"/>
          <w:u w:val="none"/>
          <w:shd w:fill="auto" w:val="clear"/>
          <w:vertAlign w:val="baseline"/>
          <w:rtl w:val="0"/>
        </w:rPr>
        <w:t xml:space="preserve">Table 1. List of measured properties for titania-germania and silica thin films, both after annealing at 600</w:t>
      </w:r>
      <w:r w:rsidDel="00000000" w:rsidR="00000000" w:rsidRPr="00000000">
        <w:rPr>
          <w:rFonts w:ascii="Arial" w:cs="Arial" w:eastAsia="Arial" w:hAnsi="Arial"/>
          <w:b w:val="0"/>
          <w:i w:val="1"/>
          <w:smallCaps w:val="0"/>
          <w:strike w:val="0"/>
          <w:color w:val="44546a"/>
          <w:sz w:val="18"/>
          <w:szCs w:val="18"/>
          <w:u w:val="none"/>
          <w:shd w:fill="auto" w:val="clear"/>
          <w:vertAlign w:val="superscript"/>
          <w:rtl w:val="0"/>
        </w:rPr>
        <w:t xml:space="preserve">O</w:t>
      </w:r>
      <w:r w:rsidDel="00000000" w:rsidR="00000000" w:rsidRPr="00000000">
        <w:rPr>
          <w:rFonts w:ascii="Arial" w:cs="Arial" w:eastAsia="Arial" w:hAnsi="Arial"/>
          <w:b w:val="0"/>
          <w:i w:val="1"/>
          <w:smallCaps w:val="0"/>
          <w:strike w:val="0"/>
          <w:color w:val="44546a"/>
          <w:sz w:val="18"/>
          <w:szCs w:val="18"/>
          <w:u w:val="none"/>
          <w:shd w:fill="auto" w:val="clear"/>
          <w:vertAlign w:val="baseline"/>
          <w:rtl w:val="0"/>
        </w:rPr>
        <w:t xml:space="preserve">C for 100 hours</w:t>
      </w:r>
    </w:p>
    <w:p w:rsidR="00000000" w:rsidDel="00000000" w:rsidP="00000000" w:rsidRDefault="00000000" w:rsidRPr="00000000" w14:paraId="00000028">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67" w:right="0" w:firstLine="0"/>
        <w:jc w:val="left"/>
        <w:rPr>
          <w:i w:val="1"/>
          <w:color w:val="44546a"/>
          <w:sz w:val="18"/>
          <w:szCs w:val="18"/>
        </w:rPr>
      </w:pPr>
      <w:r w:rsidDel="00000000" w:rsidR="00000000" w:rsidRPr="00000000">
        <w:rPr>
          <w:rtl w:val="0"/>
        </w:rPr>
      </w:r>
    </w:p>
    <w:p w:rsidR="00000000" w:rsidDel="00000000" w:rsidP="00000000" w:rsidRDefault="00000000" w:rsidRPr="00000000" w14:paraId="00000029">
      <w:pPr>
        <w:keepNext w:val="1"/>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67" w:right="0" w:firstLine="0"/>
        <w:jc w:val="left"/>
        <w:rPr>
          <w:i w:val="1"/>
          <w:color w:val="44546a"/>
          <w:sz w:val="18"/>
          <w:szCs w:val="18"/>
        </w:rPr>
      </w:pPr>
      <w:r w:rsidDel="00000000" w:rsidR="00000000" w:rsidRPr="00000000">
        <w:rPr>
          <w:rtl w:val="0"/>
        </w:rPr>
      </w:r>
    </w:p>
    <w:tbl>
      <w:tblPr>
        <w:tblStyle w:val="Table1"/>
        <w:tblW w:w="6660.0" w:type="dxa"/>
        <w:jc w:val="left"/>
        <w:tblInd w:w="2127.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420"/>
        <w:gridCol w:w="3240"/>
        <w:tblGridChange w:id="0">
          <w:tblGrid>
            <w:gridCol w:w="3420"/>
            <w:gridCol w:w="3240"/>
          </w:tblGrid>
        </w:tblGridChange>
      </w:tblGrid>
      <w:tr>
        <w:trPr>
          <w:cantSplit w:val="0"/>
          <w:tblHeader w:val="0"/>
        </w:trPr>
        <w:tc>
          <w:tcPr>
            <w:tcBorders>
              <w:bottom w:color="000000" w:space="0" w:sz="4" w:val="single"/>
            </w:tcBorders>
          </w:tcPr>
          <w:p w:rsidR="00000000" w:rsidDel="00000000" w:rsidP="00000000" w:rsidRDefault="00000000" w:rsidRPr="00000000" w14:paraId="0000002A">
            <w:pPr>
              <w:ind w:left="567" w:firstLine="0"/>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SiO2 property</w:t>
            </w:r>
          </w:p>
        </w:tc>
        <w:tc>
          <w:tcPr>
            <w:tcBorders>
              <w:bottom w:color="000000" w:space="0" w:sz="4" w:val="single"/>
            </w:tcBorders>
          </w:tcPr>
          <w:p w:rsidR="00000000" w:rsidDel="00000000" w:rsidP="00000000" w:rsidRDefault="00000000" w:rsidRPr="00000000" w14:paraId="0000002B">
            <w:pPr>
              <w:ind w:left="567" w:firstLine="0"/>
              <w:jc w:val="center"/>
              <w:rPr>
                <w:rFonts w:ascii="Arial" w:cs="Arial" w:eastAsia="Arial" w:hAnsi="Arial"/>
                <w:b w:val="1"/>
                <w:color w:val="000000"/>
                <w:sz w:val="20"/>
                <w:szCs w:val="20"/>
              </w:rPr>
            </w:pPr>
            <w:r w:rsidDel="00000000" w:rsidR="00000000" w:rsidRPr="00000000">
              <w:rPr>
                <w:rFonts w:ascii="Arial" w:cs="Arial" w:eastAsia="Arial" w:hAnsi="Arial"/>
                <w:b w:val="1"/>
                <w:color w:val="000000"/>
                <w:sz w:val="20"/>
                <w:szCs w:val="20"/>
                <w:rtl w:val="0"/>
              </w:rPr>
              <w:t xml:space="preserve">Value</w:t>
            </w:r>
          </w:p>
        </w:tc>
      </w:tr>
      <w:tr>
        <w:trPr>
          <w:cantSplit w:val="0"/>
          <w:tblHeader w:val="0"/>
        </w:trPr>
        <w:tc>
          <w:tcPr>
            <w:tcBorders>
              <w:top w:color="000000" w:space="0" w:sz="4" w:val="single"/>
            </w:tcBorders>
          </w:tcPr>
          <w:p w:rsidR="00000000" w:rsidDel="00000000" w:rsidP="00000000" w:rsidRDefault="00000000" w:rsidRPr="00000000" w14:paraId="0000002C">
            <w:pPr>
              <w:ind w:firstLine="360"/>
              <w:rPr>
                <w:color w:val="000000"/>
                <w:sz w:val="20"/>
                <w:szCs w:val="20"/>
              </w:rPr>
            </w:pPr>
            <w:r w:rsidDel="00000000" w:rsidR="00000000" w:rsidRPr="00000000">
              <w:rPr>
                <w:color w:val="000000"/>
                <w:sz w:val="20"/>
                <w:szCs w:val="20"/>
                <w:rtl w:val="0"/>
              </w:rPr>
              <w:t xml:space="preserve">Refractive index at 1064 nm</w:t>
            </w:r>
          </w:p>
        </w:tc>
        <w:tc>
          <w:tcPr>
            <w:tcBorders>
              <w:top w:color="000000" w:space="0" w:sz="4" w:val="single"/>
            </w:tcBorders>
          </w:tcPr>
          <w:p w:rsidR="00000000" w:rsidDel="00000000" w:rsidP="00000000" w:rsidRDefault="00000000" w:rsidRPr="00000000" w14:paraId="0000002D">
            <w:pPr>
              <w:ind w:firstLine="360"/>
              <w:jc w:val="center"/>
              <w:rPr>
                <w:color w:val="000000"/>
                <w:sz w:val="20"/>
                <w:szCs w:val="20"/>
              </w:rPr>
            </w:pPr>
            <w:r w:rsidDel="00000000" w:rsidR="00000000" w:rsidRPr="00000000">
              <w:rPr>
                <w:color w:val="000000"/>
                <w:sz w:val="20"/>
                <w:szCs w:val="20"/>
                <w:rtl w:val="0"/>
              </w:rPr>
              <w:t xml:space="preserve">1.45 ± 0.01</w:t>
            </w:r>
          </w:p>
        </w:tc>
      </w:tr>
      <w:tr>
        <w:trPr>
          <w:cantSplit w:val="0"/>
          <w:tblHeader w:val="0"/>
        </w:trPr>
        <w:tc>
          <w:tcPr/>
          <w:p w:rsidR="00000000" w:rsidDel="00000000" w:rsidP="00000000" w:rsidRDefault="00000000" w:rsidRPr="00000000" w14:paraId="0000002E">
            <w:pPr>
              <w:ind w:firstLine="360"/>
              <w:rPr>
                <w:color w:val="000000"/>
                <w:sz w:val="20"/>
                <w:szCs w:val="20"/>
              </w:rPr>
            </w:pPr>
            <w:r w:rsidDel="00000000" w:rsidR="00000000" w:rsidRPr="00000000">
              <w:rPr>
                <w:color w:val="000000"/>
                <w:sz w:val="20"/>
                <w:szCs w:val="20"/>
                <w:rtl w:val="0"/>
              </w:rPr>
              <w:t xml:space="preserve">Young’s modulus</w:t>
            </w:r>
          </w:p>
        </w:tc>
        <w:tc>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73.2 ± 0.6 GPa</w:t>
            </w:r>
          </w:p>
        </w:tc>
      </w:tr>
      <w:tr>
        <w:trPr>
          <w:cantSplit w:val="0"/>
          <w:tblHeader w:val="0"/>
        </w:trPr>
        <w:tc>
          <w:tcPr/>
          <w:p w:rsidR="00000000" w:rsidDel="00000000" w:rsidP="00000000" w:rsidRDefault="00000000" w:rsidRPr="00000000" w14:paraId="00000030">
            <w:pPr>
              <w:ind w:firstLine="360"/>
              <w:rPr>
                <w:color w:val="000000"/>
                <w:sz w:val="20"/>
                <w:szCs w:val="20"/>
              </w:rPr>
            </w:pPr>
            <w:r w:rsidDel="00000000" w:rsidR="00000000" w:rsidRPr="00000000">
              <w:rPr>
                <w:color w:val="000000"/>
                <w:sz w:val="20"/>
                <w:szCs w:val="20"/>
                <w:rtl w:val="0"/>
              </w:rPr>
              <w:t xml:space="preserve">Poisson ratio</w:t>
            </w:r>
          </w:p>
        </w:tc>
        <w:tc>
          <w:tcPr/>
          <w:p w:rsidR="00000000" w:rsidDel="00000000" w:rsidP="00000000" w:rsidRDefault="00000000" w:rsidRPr="00000000" w14:paraId="00000031">
            <w:pPr>
              <w:ind w:firstLine="360"/>
              <w:jc w:val="center"/>
              <w:rPr>
                <w:color w:val="000000"/>
                <w:sz w:val="20"/>
                <w:szCs w:val="20"/>
              </w:rPr>
            </w:pPr>
            <w:r w:rsidDel="00000000" w:rsidR="00000000" w:rsidRPr="00000000">
              <w:rPr>
                <w:color w:val="000000"/>
                <w:sz w:val="20"/>
                <w:szCs w:val="20"/>
                <w:rtl w:val="0"/>
              </w:rPr>
              <w:t xml:space="preserve">0.11 ± 0.01</w:t>
            </w:r>
          </w:p>
        </w:tc>
      </w:tr>
      <w:tr>
        <w:trPr>
          <w:cantSplit w:val="0"/>
          <w:tblHeader w:val="0"/>
        </w:trPr>
        <w:tc>
          <w:tcPr/>
          <w:p w:rsidR="00000000" w:rsidDel="00000000" w:rsidP="00000000" w:rsidRDefault="00000000" w:rsidRPr="00000000" w14:paraId="00000032">
            <w:pPr>
              <w:ind w:firstLine="360"/>
              <w:rPr>
                <w:color w:val="000000"/>
                <w:sz w:val="20"/>
                <w:szCs w:val="20"/>
              </w:rPr>
            </w:pPr>
            <w:r w:rsidDel="00000000" w:rsidR="00000000" w:rsidRPr="00000000">
              <w:rPr>
                <w:color w:val="000000"/>
                <w:sz w:val="20"/>
                <w:szCs w:val="20"/>
                <w:rtl w:val="0"/>
              </w:rPr>
              <w:t xml:space="preserve">Loss angle</w:t>
            </w:r>
          </w:p>
        </w:tc>
        <w:tc>
          <w:tcPr/>
          <w:p w:rsidR="00000000" w:rsidDel="00000000" w:rsidP="00000000" w:rsidRDefault="00000000" w:rsidRPr="00000000" w14:paraId="00000033">
            <w:pPr>
              <w:jc w:val="center"/>
              <w:rPr>
                <w:rFonts w:ascii="Cambria Math" w:cs="Cambria Math" w:eastAsia="Cambria Math" w:hAnsi="Cambria Math"/>
                <w:color w:val="000000"/>
                <w:sz w:val="20"/>
                <w:szCs w:val="20"/>
              </w:rPr>
            </w:pPr>
            <m:oMath>
              <m:sSub>
                <m:e>
                  <m:r>
                    <m:t>ϕ</m:t>
                  </m:r>
                </m:e>
                <m:sub>
                  <m:r>
                    <m:t>μ</m:t>
                  </m:r>
                </m:sub>
              </m:sSub>
              <m:r>
                <w:rPr>
                  <w:rFonts w:ascii="Cambria Math" w:cs="Cambria Math" w:eastAsia="Cambria Math" w:hAnsi="Cambria Math"/>
                  <w:color w:val="000000"/>
                  <w:sz w:val="20"/>
                  <w:szCs w:val="20"/>
                </w:rPr>
                <m:t xml:space="preserve">=</m:t>
              </m:r>
              <m:sSub>
                <m:sSubPr>
                  <m:ctrlPr>
                    <w:rPr>
                      <w:rFonts w:ascii="Cambria Math" w:cs="Cambria Math" w:eastAsia="Cambria Math" w:hAnsi="Cambria Math"/>
                      <w:color w:val="000000"/>
                      <w:sz w:val="20"/>
                      <w:szCs w:val="20"/>
                    </w:rPr>
                  </m:ctrlPr>
                </m:sSubPr>
                <m:e>
                  <m:r>
                    <w:rPr>
                      <w:rFonts w:ascii="Cambria Math" w:cs="Cambria Math" w:eastAsia="Cambria Math" w:hAnsi="Cambria Math"/>
                      <w:color w:val="000000"/>
                      <w:sz w:val="20"/>
                      <w:szCs w:val="20"/>
                    </w:rPr>
                    <m:t>ϕ</m:t>
                  </m:r>
                </m:e>
                <m:sub>
                  <m:r>
                    <w:rPr>
                      <w:rFonts w:ascii="Cambria Math" w:cs="Cambria Math" w:eastAsia="Cambria Math" w:hAnsi="Cambria Math"/>
                      <w:color w:val="000000"/>
                      <w:sz w:val="20"/>
                      <w:szCs w:val="20"/>
                    </w:rPr>
                    <m:t xml:space="preserve">K</m:t>
                  </m:r>
                </m:sub>
              </m:sSub>
              <m:r>
                <w:rPr>
                  <w:rFonts w:ascii="Cambria Math" w:cs="Cambria Math" w:eastAsia="Cambria Math" w:hAnsi="Cambria Math"/>
                  <w:color w:val="000000"/>
                  <w:sz w:val="20"/>
                  <w:szCs w:val="20"/>
                </w:rPr>
                <m:t xml:space="preserve">=</m:t>
              </m:r>
              <m:sSubSup>
                <m:sSubSupPr>
                  <m:ctrlPr>
                    <w:rPr>
                      <w:rFonts w:ascii="Cambria Math" w:cs="Cambria Math" w:eastAsia="Cambria Math" w:hAnsi="Cambria Math"/>
                      <w:color w:val="000000"/>
                      <w:sz w:val="20"/>
                      <w:szCs w:val="20"/>
                    </w:rPr>
                  </m:ctrlPr>
                </m:sSubSupPr>
                <m:e>
                  <m:r>
                    <w:rPr>
                      <w:rFonts w:ascii="Cambria Math" w:cs="Cambria Math" w:eastAsia="Cambria Math" w:hAnsi="Cambria Math"/>
                      <w:color w:val="000000"/>
                      <w:sz w:val="20"/>
                      <w:szCs w:val="20"/>
                    </w:rPr>
                    <m:t xml:space="preserve">2.6</m:t>
                  </m:r>
                </m:e>
                <m:sub>
                  <m:r>
                    <w:rPr>
                      <w:rFonts w:ascii="Cambria Math" w:cs="Cambria Math" w:eastAsia="Cambria Math" w:hAnsi="Cambria Math"/>
                      <w:color w:val="000000"/>
                      <w:sz w:val="20"/>
                      <w:szCs w:val="20"/>
                    </w:rPr>
                    <m:t xml:space="preserve">-0.6</m:t>
                  </m:r>
                </m:sub>
                <m:sup>
                  <m:r>
                    <w:rPr>
                      <w:rFonts w:ascii="Cambria Math" w:cs="Cambria Math" w:eastAsia="Cambria Math" w:hAnsi="Cambria Math"/>
                      <w:color w:val="000000"/>
                      <w:sz w:val="20"/>
                      <w:szCs w:val="20"/>
                    </w:rPr>
                    <m:t xml:space="preserve">+0.5</m:t>
                  </m:r>
                </m:sup>
              </m:sSubSup>
              <m:r>
                <w:rPr>
                  <w:rFonts w:ascii="Cambria Math" w:cs="Cambria Math" w:eastAsia="Cambria Math" w:hAnsi="Cambria Math"/>
                  <w:color w:val="000000"/>
                  <w:sz w:val="20"/>
                  <w:szCs w:val="20"/>
                </w:rPr>
                <m:t>×</m:t>
              </m:r>
              <m:sSup>
                <m:sSupPr>
                  <m:ctrlPr>
                    <w:rPr>
                      <w:rFonts w:ascii="Cambria Math" w:cs="Cambria Math" w:eastAsia="Cambria Math" w:hAnsi="Cambria Math"/>
                      <w:color w:val="000000"/>
                      <w:sz w:val="20"/>
                      <w:szCs w:val="20"/>
                    </w:rPr>
                  </m:ctrlPr>
                </m:sSupPr>
                <m:e>
                  <m:r>
                    <w:rPr>
                      <w:rFonts w:ascii="Cambria Math" w:cs="Cambria Math" w:eastAsia="Cambria Math" w:hAnsi="Cambria Math"/>
                      <w:color w:val="000000"/>
                      <w:sz w:val="20"/>
                      <w:szCs w:val="20"/>
                    </w:rPr>
                    <m:t xml:space="preserve">10</m:t>
                  </m:r>
                </m:e>
                <m:sup>
                  <m:r>
                    <w:rPr>
                      <w:rFonts w:ascii="Cambria Math" w:cs="Cambria Math" w:eastAsia="Cambria Math" w:hAnsi="Cambria Math"/>
                      <w:color w:val="000000"/>
                      <w:sz w:val="20"/>
                      <w:szCs w:val="20"/>
                    </w:rPr>
                    <m:t xml:space="preserve">-5</m:t>
                  </m:r>
                </m:sup>
              </m:sSup>
            </m:oMath>
            <w:r w:rsidDel="00000000" w:rsidR="00000000" w:rsidRPr="00000000">
              <w:rPr>
                <w:rtl w:val="0"/>
              </w:rPr>
            </w:r>
          </w:p>
        </w:tc>
      </w:tr>
      <w:tr>
        <w:trPr>
          <w:cantSplit w:val="0"/>
          <w:tblHeader w:val="0"/>
        </w:trPr>
        <w:tc>
          <w:tcPr/>
          <w:p w:rsidR="00000000" w:rsidDel="00000000" w:rsidP="00000000" w:rsidRDefault="00000000" w:rsidRPr="00000000" w14:paraId="00000034">
            <w:pPr>
              <w:ind w:firstLine="360"/>
              <w:rPr>
                <w:color w:val="000000"/>
                <w:sz w:val="20"/>
                <w:szCs w:val="20"/>
              </w:rPr>
            </w:pPr>
            <w:r w:rsidDel="00000000" w:rsidR="00000000" w:rsidRPr="00000000">
              <w:rPr>
                <w:rtl w:val="0"/>
              </w:rPr>
            </w:r>
          </w:p>
        </w:tc>
        <w:tc>
          <w:tcPr/>
          <w:p w:rsidR="00000000" w:rsidDel="00000000" w:rsidP="00000000" w:rsidRDefault="00000000" w:rsidRPr="00000000" w14:paraId="00000035">
            <w:pPr>
              <w:ind w:firstLine="360"/>
              <w:rPr>
                <w:color w:val="000000"/>
                <w:sz w:val="20"/>
                <w:szCs w:val="20"/>
              </w:rPr>
            </w:pPr>
            <w:r w:rsidDel="00000000" w:rsidR="00000000" w:rsidRPr="00000000">
              <w:rPr>
                <w:rtl w:val="0"/>
              </w:rPr>
            </w:r>
          </w:p>
        </w:tc>
      </w:tr>
      <w:tr>
        <w:trPr>
          <w:cantSplit w:val="0"/>
          <w:tblHeader w:val="0"/>
        </w:trPr>
        <w:tc>
          <w:tcPr>
            <w:tcBorders>
              <w:bottom w:color="000000" w:space="0" w:sz="4" w:val="single"/>
            </w:tcBorders>
          </w:tcPr>
          <w:p w:rsidR="00000000" w:rsidDel="00000000" w:rsidP="00000000" w:rsidRDefault="00000000" w:rsidRPr="00000000" w14:paraId="00000036">
            <w:pPr>
              <w:ind w:firstLine="360"/>
              <w:rPr>
                <w:b w:val="1"/>
                <w:color w:val="000000"/>
                <w:sz w:val="20"/>
                <w:szCs w:val="20"/>
              </w:rPr>
            </w:pPr>
            <w:r w:rsidDel="00000000" w:rsidR="00000000" w:rsidRPr="00000000">
              <w:rPr>
                <w:b w:val="1"/>
                <w:color w:val="000000"/>
                <w:sz w:val="20"/>
                <w:szCs w:val="20"/>
                <w:rtl w:val="0"/>
              </w:rPr>
              <w:t xml:space="preserve">TiO2:GeO2 property</w:t>
            </w:r>
          </w:p>
        </w:tc>
        <w:tc>
          <w:tcPr>
            <w:tcBorders>
              <w:bottom w:color="000000" w:space="0" w:sz="4" w:val="single"/>
            </w:tcBorders>
          </w:tcPr>
          <w:p w:rsidR="00000000" w:rsidDel="00000000" w:rsidP="00000000" w:rsidRDefault="00000000" w:rsidRPr="00000000" w14:paraId="00000037">
            <w:pPr>
              <w:ind w:firstLine="360"/>
              <w:jc w:val="center"/>
              <w:rPr>
                <w:b w:val="1"/>
                <w:color w:val="000000"/>
                <w:sz w:val="20"/>
                <w:szCs w:val="20"/>
              </w:rPr>
            </w:pPr>
            <w:r w:rsidDel="00000000" w:rsidR="00000000" w:rsidRPr="00000000">
              <w:rPr>
                <w:b w:val="1"/>
                <w:color w:val="000000"/>
                <w:sz w:val="20"/>
                <w:szCs w:val="20"/>
                <w:rtl w:val="0"/>
              </w:rPr>
              <w:t xml:space="preserve">Value</w:t>
            </w:r>
          </w:p>
        </w:tc>
      </w:tr>
      <w:tr>
        <w:trPr>
          <w:cantSplit w:val="0"/>
          <w:tblHeader w:val="0"/>
        </w:trPr>
        <w:tc>
          <w:tcPr>
            <w:tcBorders>
              <w:top w:color="000000" w:space="0" w:sz="4" w:val="single"/>
            </w:tcBorders>
          </w:tcPr>
          <w:p w:rsidR="00000000" w:rsidDel="00000000" w:rsidP="00000000" w:rsidRDefault="00000000" w:rsidRPr="00000000" w14:paraId="00000038">
            <w:pPr>
              <w:ind w:firstLine="360"/>
              <w:rPr>
                <w:color w:val="000000"/>
                <w:sz w:val="20"/>
                <w:szCs w:val="20"/>
              </w:rPr>
            </w:pPr>
            <w:r w:rsidDel="00000000" w:rsidR="00000000" w:rsidRPr="00000000">
              <w:rPr>
                <w:color w:val="000000"/>
                <w:sz w:val="20"/>
                <w:szCs w:val="20"/>
                <w:rtl w:val="0"/>
              </w:rPr>
              <w:t xml:space="preserve">Cation concentration Ti/(Ti+Ge)</w:t>
            </w:r>
          </w:p>
        </w:tc>
        <w:tc>
          <w:tcPr>
            <w:tcBorders>
              <w:top w:color="000000" w:space="0" w:sz="4" w:val="single"/>
            </w:tcBorders>
          </w:tcPr>
          <w:p w:rsidR="00000000" w:rsidDel="00000000" w:rsidP="00000000" w:rsidRDefault="00000000" w:rsidRPr="00000000" w14:paraId="00000039">
            <w:pPr>
              <w:ind w:firstLine="360"/>
              <w:jc w:val="center"/>
              <w:rPr>
                <w:color w:val="000000"/>
                <w:sz w:val="20"/>
                <w:szCs w:val="20"/>
              </w:rPr>
            </w:pPr>
            <w:r w:rsidDel="00000000" w:rsidR="00000000" w:rsidRPr="00000000">
              <w:rPr>
                <w:color w:val="000000"/>
                <w:sz w:val="20"/>
                <w:szCs w:val="20"/>
                <w:rtl w:val="0"/>
              </w:rPr>
              <w:t xml:space="preserve">44.5 ± 0.3 %</w:t>
            </w:r>
          </w:p>
        </w:tc>
      </w:tr>
      <w:tr>
        <w:trPr>
          <w:cantSplit w:val="0"/>
          <w:tblHeader w:val="0"/>
        </w:trPr>
        <w:tc>
          <w:tcPr/>
          <w:p w:rsidR="00000000" w:rsidDel="00000000" w:rsidP="00000000" w:rsidRDefault="00000000" w:rsidRPr="00000000" w14:paraId="0000003A">
            <w:pPr>
              <w:ind w:firstLine="360"/>
              <w:rPr>
                <w:color w:val="000000"/>
                <w:sz w:val="20"/>
                <w:szCs w:val="20"/>
              </w:rPr>
            </w:pPr>
            <w:r w:rsidDel="00000000" w:rsidR="00000000" w:rsidRPr="00000000">
              <w:rPr>
                <w:color w:val="000000"/>
                <w:sz w:val="20"/>
                <w:szCs w:val="20"/>
                <w:rtl w:val="0"/>
              </w:rPr>
              <w:t xml:space="preserve">Refractive index at 1064 nm</w:t>
            </w:r>
          </w:p>
        </w:tc>
        <w:tc>
          <w:tcPr/>
          <w:p w:rsidR="00000000" w:rsidDel="00000000" w:rsidP="00000000" w:rsidRDefault="00000000" w:rsidRPr="00000000" w14:paraId="0000003B">
            <w:pPr>
              <w:ind w:firstLine="360"/>
              <w:jc w:val="center"/>
              <w:rPr>
                <w:color w:val="000000"/>
                <w:sz w:val="20"/>
                <w:szCs w:val="20"/>
              </w:rPr>
            </w:pPr>
            <w:r w:rsidDel="00000000" w:rsidR="00000000" w:rsidRPr="00000000">
              <w:rPr>
                <w:color w:val="000000"/>
                <w:sz w:val="20"/>
                <w:szCs w:val="20"/>
                <w:rtl w:val="0"/>
              </w:rPr>
              <w:t xml:space="preserve">1.88 ± 0.01</w:t>
            </w:r>
          </w:p>
        </w:tc>
      </w:tr>
      <w:tr>
        <w:trPr>
          <w:cantSplit w:val="0"/>
          <w:tblHeader w:val="0"/>
        </w:trPr>
        <w:tc>
          <w:tcPr/>
          <w:p w:rsidR="00000000" w:rsidDel="00000000" w:rsidP="00000000" w:rsidRDefault="00000000" w:rsidRPr="00000000" w14:paraId="0000003C">
            <w:pPr>
              <w:ind w:firstLine="360"/>
              <w:rPr>
                <w:color w:val="000000"/>
                <w:sz w:val="20"/>
                <w:szCs w:val="20"/>
              </w:rPr>
            </w:pPr>
            <w:r w:rsidDel="00000000" w:rsidR="00000000" w:rsidRPr="00000000">
              <w:rPr>
                <w:color w:val="000000"/>
                <w:sz w:val="20"/>
                <w:szCs w:val="20"/>
                <w:rtl w:val="0"/>
              </w:rPr>
              <w:t xml:space="preserve">Optical absorption for a QWL</w:t>
            </w:r>
          </w:p>
        </w:tc>
        <w:tc>
          <w:tcPr/>
          <w:p w:rsidR="00000000" w:rsidDel="00000000" w:rsidP="00000000" w:rsidRDefault="00000000" w:rsidRPr="00000000" w14:paraId="0000003D">
            <w:pPr>
              <w:ind w:firstLine="360"/>
              <w:jc w:val="center"/>
              <w:rPr>
                <w:color w:val="000000"/>
                <w:sz w:val="20"/>
                <w:szCs w:val="20"/>
              </w:rPr>
            </w:pPr>
            <w:r w:rsidDel="00000000" w:rsidR="00000000" w:rsidRPr="00000000">
              <w:rPr>
                <w:color w:val="000000"/>
                <w:sz w:val="20"/>
                <w:szCs w:val="20"/>
                <w:rtl w:val="0"/>
              </w:rPr>
              <w:t xml:space="preserve">2.3 ± 0.1 ppm</w:t>
            </w:r>
          </w:p>
        </w:tc>
      </w:tr>
      <w:tr>
        <w:trPr>
          <w:cantSplit w:val="0"/>
          <w:tblHeader w:val="0"/>
        </w:trPr>
        <w:tc>
          <w:tcPr/>
          <w:p w:rsidR="00000000" w:rsidDel="00000000" w:rsidP="00000000" w:rsidRDefault="00000000" w:rsidRPr="00000000" w14:paraId="0000003E">
            <w:pPr>
              <w:ind w:firstLine="360"/>
              <w:rPr>
                <w:color w:val="000000"/>
                <w:sz w:val="20"/>
                <w:szCs w:val="20"/>
              </w:rPr>
            </w:pPr>
            <w:r w:rsidDel="00000000" w:rsidR="00000000" w:rsidRPr="00000000">
              <w:rPr>
                <w:color w:val="000000"/>
                <w:sz w:val="20"/>
                <w:szCs w:val="20"/>
                <w:rtl w:val="0"/>
              </w:rPr>
              <w:t xml:space="preserve">Density</w:t>
            </w:r>
          </w:p>
        </w:tc>
        <w:tc>
          <w:tcPr/>
          <w:p w:rsidR="00000000" w:rsidDel="00000000" w:rsidP="00000000" w:rsidRDefault="00000000" w:rsidRPr="00000000" w14:paraId="0000003F">
            <w:pPr>
              <w:ind w:firstLine="360"/>
              <w:jc w:val="center"/>
              <w:rPr>
                <w:color w:val="000000"/>
                <w:sz w:val="20"/>
                <w:szCs w:val="20"/>
              </w:rPr>
            </w:pPr>
            <w:r w:rsidDel="00000000" w:rsidR="00000000" w:rsidRPr="00000000">
              <w:rPr>
                <w:color w:val="000000"/>
                <w:sz w:val="20"/>
                <w:szCs w:val="20"/>
                <w:rtl w:val="0"/>
              </w:rPr>
              <w:t xml:space="preserve">3690 ± 100 kg/m</w:t>
            </w:r>
            <w:r w:rsidDel="00000000" w:rsidR="00000000" w:rsidRPr="00000000">
              <w:rPr>
                <w:color w:val="000000"/>
                <w:sz w:val="20"/>
                <w:szCs w:val="20"/>
                <w:vertAlign w:val="superscript"/>
                <w:rtl w:val="0"/>
              </w:rPr>
              <w:t xml:space="preserve">3</w:t>
            </w:r>
            <w:r w:rsidDel="00000000" w:rsidR="00000000" w:rsidRPr="00000000">
              <w:rPr>
                <w:rtl w:val="0"/>
              </w:rPr>
            </w:r>
          </w:p>
        </w:tc>
      </w:tr>
      <w:tr>
        <w:trPr>
          <w:cantSplit w:val="0"/>
          <w:tblHeader w:val="0"/>
        </w:trPr>
        <w:tc>
          <w:tcPr/>
          <w:p w:rsidR="00000000" w:rsidDel="00000000" w:rsidP="00000000" w:rsidRDefault="00000000" w:rsidRPr="00000000" w14:paraId="00000040">
            <w:pPr>
              <w:ind w:firstLine="360"/>
              <w:rPr>
                <w:color w:val="000000"/>
                <w:sz w:val="20"/>
                <w:szCs w:val="20"/>
              </w:rPr>
            </w:pPr>
            <w:r w:rsidDel="00000000" w:rsidR="00000000" w:rsidRPr="00000000">
              <w:rPr>
                <w:color w:val="000000"/>
                <w:sz w:val="20"/>
                <w:szCs w:val="20"/>
                <w:rtl w:val="0"/>
              </w:rPr>
              <w:t xml:space="preserve">Young’s modulus</w:t>
            </w:r>
          </w:p>
        </w:tc>
        <w:tc>
          <w:tcPr/>
          <w:p w:rsidR="00000000" w:rsidDel="00000000" w:rsidP="00000000" w:rsidRDefault="00000000" w:rsidRPr="00000000" w14:paraId="00000041">
            <w:pPr>
              <w:ind w:firstLine="360"/>
              <w:jc w:val="center"/>
              <w:rPr>
                <w:color w:val="000000"/>
                <w:sz w:val="20"/>
                <w:szCs w:val="20"/>
              </w:rPr>
            </w:pPr>
            <w:r w:rsidDel="00000000" w:rsidR="00000000" w:rsidRPr="00000000">
              <w:rPr>
                <w:color w:val="000000"/>
                <w:sz w:val="20"/>
                <w:szCs w:val="20"/>
                <w:rtl w:val="0"/>
              </w:rPr>
              <w:t xml:space="preserve">91.5 ± 1.8 GPa</w:t>
            </w:r>
          </w:p>
        </w:tc>
      </w:tr>
      <w:tr>
        <w:trPr>
          <w:cantSplit w:val="0"/>
          <w:tblHeader w:val="0"/>
        </w:trPr>
        <w:tc>
          <w:tcPr/>
          <w:p w:rsidR="00000000" w:rsidDel="00000000" w:rsidP="00000000" w:rsidRDefault="00000000" w:rsidRPr="00000000" w14:paraId="00000042">
            <w:pPr>
              <w:ind w:firstLine="360"/>
              <w:rPr>
                <w:color w:val="000000"/>
                <w:sz w:val="20"/>
                <w:szCs w:val="20"/>
              </w:rPr>
            </w:pPr>
            <w:r w:rsidDel="00000000" w:rsidR="00000000" w:rsidRPr="00000000">
              <w:rPr>
                <w:color w:val="000000"/>
                <w:sz w:val="20"/>
                <w:szCs w:val="20"/>
                <w:rtl w:val="0"/>
              </w:rPr>
              <w:t xml:space="preserve">Poisson ratio</w:t>
            </w:r>
          </w:p>
        </w:tc>
        <w:tc>
          <w:tcPr/>
          <w:p w:rsidR="00000000" w:rsidDel="00000000" w:rsidP="00000000" w:rsidRDefault="00000000" w:rsidRPr="00000000" w14:paraId="00000043">
            <w:pPr>
              <w:ind w:firstLine="360"/>
              <w:jc w:val="center"/>
              <w:rPr>
                <w:color w:val="000000"/>
                <w:sz w:val="20"/>
                <w:szCs w:val="20"/>
              </w:rPr>
            </w:pPr>
            <w:r w:rsidDel="00000000" w:rsidR="00000000" w:rsidRPr="00000000">
              <w:rPr>
                <w:color w:val="000000"/>
                <w:sz w:val="20"/>
                <w:szCs w:val="20"/>
                <w:rtl w:val="0"/>
              </w:rPr>
              <w:t xml:space="preserve">0.25 ± 0.07</w:t>
            </w:r>
          </w:p>
        </w:tc>
      </w:tr>
      <w:tr>
        <w:trPr>
          <w:cantSplit w:val="0"/>
          <w:tblHeader w:val="0"/>
        </w:trPr>
        <w:tc>
          <w:tcPr/>
          <w:p w:rsidR="00000000" w:rsidDel="00000000" w:rsidP="00000000" w:rsidRDefault="00000000" w:rsidRPr="00000000" w14:paraId="00000044">
            <w:pPr>
              <w:ind w:firstLine="360"/>
              <w:rPr>
                <w:color w:val="000000"/>
                <w:sz w:val="20"/>
                <w:szCs w:val="20"/>
              </w:rPr>
            </w:pPr>
            <w:r w:rsidDel="00000000" w:rsidR="00000000" w:rsidRPr="00000000">
              <w:rPr>
                <w:color w:val="000000"/>
                <w:sz w:val="20"/>
                <w:szCs w:val="20"/>
                <w:rtl w:val="0"/>
              </w:rPr>
              <w:t xml:space="preserve">Bulk loss angle </w:t>
            </w:r>
            <m:oMath>
              <m:r>
                <m:t>ϕ</m:t>
              </m:r>
              <m:d>
                <m:dPr>
                  <m:begChr m:val="("/>
                  <m:endChr m:val=")"/>
                  <m:ctrlPr>
                    <w:rPr>
                      <w:rFonts w:ascii="Cambria Math" w:cs="Cambria Math" w:eastAsia="Cambria Math" w:hAnsi="Cambria Math"/>
                      <w:color w:val="000000"/>
                      <w:sz w:val="20"/>
                      <w:szCs w:val="20"/>
                    </w:rPr>
                  </m:ctrlPr>
                </m:dPr>
                <m:e>
                  <m:r>
                    <w:rPr>
                      <w:rFonts w:ascii="Cambria Math" w:cs="Cambria Math" w:eastAsia="Cambria Math" w:hAnsi="Cambria Math"/>
                      <w:color w:val="000000"/>
                      <w:sz w:val="20"/>
                      <w:szCs w:val="20"/>
                    </w:rPr>
                    <m:t xml:space="preserve">f</m:t>
                  </m:r>
                </m:e>
              </m:d>
              <m:r>
                <w:rPr>
                  <w:rFonts w:ascii="Cambria Math" w:cs="Cambria Math" w:eastAsia="Cambria Math" w:hAnsi="Cambria Math"/>
                  <w:color w:val="000000"/>
                  <w:sz w:val="20"/>
                  <w:szCs w:val="20"/>
                </w:rPr>
                <m:t xml:space="preserve">=a </m:t>
              </m:r>
            </m:oMath>
            <w:r w:rsidDel="00000000" w:rsidR="00000000" w:rsidRPr="00000000">
              <w:rPr>
                <w:color w:val="000000"/>
                <w:sz w:val="20"/>
                <w:szCs w:val="20"/>
                <w:rtl w:val="0"/>
              </w:rPr>
              <w:t xml:space="preserve">(f/10kHz)</w:t>
            </w:r>
            <w:r w:rsidDel="00000000" w:rsidR="00000000" w:rsidRPr="00000000">
              <w:rPr>
                <w:color w:val="000000"/>
                <w:sz w:val="20"/>
                <w:szCs w:val="20"/>
                <w:vertAlign w:val="superscript"/>
                <w:rtl w:val="0"/>
              </w:rPr>
              <w:t xml:space="preserve">m</w:t>
            </w:r>
            <w:r w:rsidDel="00000000" w:rsidR="00000000" w:rsidRPr="00000000">
              <w:rPr>
                <w:rtl w:val="0"/>
              </w:rPr>
            </w:r>
          </w:p>
        </w:tc>
        <w:tc>
          <w:tcPr/>
          <w:p w:rsidR="00000000" w:rsidDel="00000000" w:rsidP="00000000" w:rsidRDefault="00000000" w:rsidRPr="00000000" w14:paraId="00000045">
            <w:pPr>
              <w:jc w:val="center"/>
              <w:rPr>
                <w:rFonts w:ascii="Cambria Math" w:cs="Cambria Math" w:eastAsia="Cambria Math" w:hAnsi="Cambria Math"/>
                <w:color w:val="000000"/>
                <w:sz w:val="20"/>
                <w:szCs w:val="20"/>
              </w:rPr>
            </w:pPr>
            <m:oMath>
              <m:sSub>
                <m:sSubPr>
                  <m:ctrlPr>
                    <w:rPr>
                      <w:rFonts w:ascii="Cambria Math" w:cs="Cambria Math" w:eastAsia="Cambria Math" w:hAnsi="Cambria Math"/>
                      <w:color w:val="000000"/>
                      <w:sz w:val="20"/>
                      <w:szCs w:val="20"/>
                    </w:rPr>
                  </m:ctrlPr>
                </m:sSubPr>
                <m:e>
                  <m:r>
                    <w:rPr>
                      <w:rFonts w:ascii="Cambria Math" w:cs="Cambria Math" w:eastAsia="Cambria Math" w:hAnsi="Cambria Math"/>
                      <w:color w:val="000000"/>
                      <w:sz w:val="20"/>
                      <w:szCs w:val="20"/>
                    </w:rPr>
                    <m:t xml:space="preserve">a</m:t>
                  </m:r>
                </m:e>
                <m:sub>
                  <m:r>
                    <w:rPr>
                      <w:rFonts w:ascii="Cambria Math" w:cs="Cambria Math" w:eastAsia="Cambria Math" w:hAnsi="Cambria Math"/>
                      <w:color w:val="000000"/>
                      <w:sz w:val="20"/>
                      <w:szCs w:val="20"/>
                    </w:rPr>
                    <m:t xml:space="preserve">K</m:t>
                  </m:r>
                </m:sub>
              </m:sSub>
              <m:r>
                <w:rPr>
                  <w:rFonts w:ascii="Cambria Math" w:cs="Cambria Math" w:eastAsia="Cambria Math" w:hAnsi="Cambria Math"/>
                  <w:color w:val="000000"/>
                  <w:sz w:val="20"/>
                  <w:szCs w:val="20"/>
                </w:rPr>
                <m:t xml:space="preserve">=(</m:t>
              </m:r>
              <m:sSubSup>
                <m:sSubSupPr>
                  <m:ctrlPr>
                    <w:rPr>
                      <w:rFonts w:ascii="Cambria Math" w:cs="Cambria Math" w:eastAsia="Cambria Math" w:hAnsi="Cambria Math"/>
                      <w:color w:val="000000"/>
                      <w:sz w:val="20"/>
                      <w:szCs w:val="20"/>
                    </w:rPr>
                  </m:ctrlPr>
                </m:sSubSupPr>
                <m:e>
                  <m:r>
                    <w:rPr>
                      <w:rFonts w:ascii="Cambria Math" w:cs="Cambria Math" w:eastAsia="Cambria Math" w:hAnsi="Cambria Math"/>
                      <w:color w:val="000000"/>
                      <w:sz w:val="20"/>
                      <w:szCs w:val="20"/>
                    </w:rPr>
                    <m:t xml:space="preserve">22.0</m:t>
                  </m:r>
                </m:e>
                <m:sub>
                  <m:r>
                    <w:rPr>
                      <w:rFonts w:ascii="Cambria Math" w:cs="Cambria Math" w:eastAsia="Cambria Math" w:hAnsi="Cambria Math"/>
                      <w:color w:val="000000"/>
                      <w:sz w:val="20"/>
                      <w:szCs w:val="20"/>
                    </w:rPr>
                    <m:t xml:space="preserve">-12.5</m:t>
                  </m:r>
                </m:sub>
                <m:sup>
                  <m:r>
                    <w:rPr>
                      <w:rFonts w:ascii="Cambria Math" w:cs="Cambria Math" w:eastAsia="Cambria Math" w:hAnsi="Cambria Math"/>
                      <w:color w:val="000000"/>
                      <w:sz w:val="20"/>
                      <w:szCs w:val="20"/>
                    </w:rPr>
                    <m:t xml:space="preserve">+10.6</m:t>
                  </m:r>
                </m:sup>
              </m:sSubSup>
              <m:r>
                <w:rPr>
                  <w:rFonts w:ascii="Cambria Math" w:cs="Cambria Math" w:eastAsia="Cambria Math" w:hAnsi="Cambria Math"/>
                  <w:color w:val="000000"/>
                  <w:sz w:val="20"/>
                  <w:szCs w:val="20"/>
                </w:rPr>
                <m:t xml:space="preserve">)×</m:t>
              </m:r>
              <m:sSup>
                <m:sSupPr>
                  <m:ctrlPr>
                    <w:rPr>
                      <w:rFonts w:ascii="Cambria Math" w:cs="Cambria Math" w:eastAsia="Cambria Math" w:hAnsi="Cambria Math"/>
                      <w:color w:val="000000"/>
                      <w:sz w:val="20"/>
                      <w:szCs w:val="20"/>
                    </w:rPr>
                  </m:ctrlPr>
                </m:sSupPr>
                <m:e>
                  <m:r>
                    <w:rPr>
                      <w:rFonts w:ascii="Cambria Math" w:cs="Cambria Math" w:eastAsia="Cambria Math" w:hAnsi="Cambria Math"/>
                      <w:color w:val="000000"/>
                      <w:sz w:val="20"/>
                      <w:szCs w:val="20"/>
                    </w:rPr>
                    <m:t xml:space="preserve">10</m:t>
                  </m:r>
                </m:e>
                <m:sup>
                  <m:r>
                    <w:rPr>
                      <w:rFonts w:ascii="Cambria Math" w:cs="Cambria Math" w:eastAsia="Cambria Math" w:hAnsi="Cambria Math"/>
                      <w:color w:val="000000"/>
                      <w:sz w:val="20"/>
                      <w:szCs w:val="20"/>
                    </w:rPr>
                    <m:t xml:space="preserve">-5</m:t>
                  </m:r>
                </m:sup>
              </m:sSup>
            </m:oMath>
            <w:r w:rsidDel="00000000" w:rsidR="00000000" w:rsidRPr="00000000">
              <w:rPr>
                <w:rtl w:val="0"/>
              </w:rPr>
            </w:r>
          </w:p>
          <w:p w:rsidR="00000000" w:rsidDel="00000000" w:rsidP="00000000" w:rsidRDefault="00000000" w:rsidRPr="00000000" w14:paraId="00000046">
            <w:pPr>
              <w:jc w:val="center"/>
              <w:rPr>
                <w:rFonts w:ascii="Cambria Math" w:cs="Cambria Math" w:eastAsia="Cambria Math" w:hAnsi="Cambria Math"/>
                <w:color w:val="000000"/>
                <w:sz w:val="20"/>
                <w:szCs w:val="20"/>
              </w:rPr>
            </w:pPr>
            <m:oMath>
              <m:sSub>
                <m:sSubPr>
                  <m:ctrlPr>
                    <w:rPr>
                      <w:rFonts w:ascii="Cambria Math" w:cs="Cambria Math" w:eastAsia="Cambria Math" w:hAnsi="Cambria Math"/>
                      <w:color w:val="000000"/>
                      <w:sz w:val="20"/>
                      <w:szCs w:val="20"/>
                    </w:rPr>
                  </m:ctrlPr>
                </m:sSubPr>
                <m:e>
                  <m:r>
                    <w:rPr>
                      <w:rFonts w:ascii="Cambria Math" w:cs="Cambria Math" w:eastAsia="Cambria Math" w:hAnsi="Cambria Math"/>
                      <w:color w:val="000000"/>
                      <w:sz w:val="20"/>
                      <w:szCs w:val="20"/>
                    </w:rPr>
                    <m:t xml:space="preserve">m</m:t>
                  </m:r>
                </m:e>
                <m:sub>
                  <m:r>
                    <w:rPr>
                      <w:rFonts w:ascii="Cambria Math" w:cs="Cambria Math" w:eastAsia="Cambria Math" w:hAnsi="Cambria Math"/>
                      <w:color w:val="000000"/>
                      <w:sz w:val="20"/>
                      <w:szCs w:val="20"/>
                    </w:rPr>
                    <m:t xml:space="preserve">K</m:t>
                  </m:r>
                </m:sub>
              </m:sSub>
              <m:r>
                <w:rPr>
                  <w:rFonts w:ascii="Cambria Math" w:cs="Cambria Math" w:eastAsia="Cambria Math" w:hAnsi="Cambria Math"/>
                  <w:color w:val="000000"/>
                  <w:sz w:val="20"/>
                  <w:szCs w:val="20"/>
                </w:rPr>
                <m:t xml:space="preserve">=</m:t>
              </m:r>
              <m:sSubSup>
                <m:sSubSupPr>
                  <m:ctrlPr>
                    <w:rPr>
                      <w:rFonts w:ascii="Cambria Math" w:cs="Cambria Math" w:eastAsia="Cambria Math" w:hAnsi="Cambria Math"/>
                      <w:color w:val="000000"/>
                      <w:sz w:val="20"/>
                      <w:szCs w:val="20"/>
                    </w:rPr>
                  </m:ctrlPr>
                </m:sSubSupPr>
                <m:e>
                  <m:r>
                    <w:rPr>
                      <w:rFonts w:ascii="Cambria Math" w:cs="Cambria Math" w:eastAsia="Cambria Math" w:hAnsi="Cambria Math"/>
                      <w:color w:val="000000"/>
                      <w:sz w:val="20"/>
                      <w:szCs w:val="20"/>
                    </w:rPr>
                    <m:t xml:space="preserve">1.04</m:t>
                  </m:r>
                </m:e>
                <m:sub>
                  <m:r>
                    <w:rPr>
                      <w:rFonts w:ascii="Cambria Math" w:cs="Cambria Math" w:eastAsia="Cambria Math" w:hAnsi="Cambria Math"/>
                      <w:color w:val="000000"/>
                      <w:sz w:val="20"/>
                      <w:szCs w:val="20"/>
                    </w:rPr>
                    <m:t xml:space="preserve">-0.36</m:t>
                  </m:r>
                </m:sub>
                <m:sup>
                  <m:r>
                    <w:rPr>
                      <w:rFonts w:ascii="Cambria Math" w:cs="Cambria Math" w:eastAsia="Cambria Math" w:hAnsi="Cambria Math"/>
                      <w:color w:val="000000"/>
                      <w:sz w:val="20"/>
                      <w:szCs w:val="20"/>
                    </w:rPr>
                    <m:t xml:space="preserve">+0.40</m:t>
                  </m:r>
                </m:sup>
              </m:sSubSup>
            </m:oMath>
            <w:r w:rsidDel="00000000" w:rsidR="00000000" w:rsidRPr="00000000">
              <w:rPr>
                <w:rtl w:val="0"/>
              </w:rPr>
            </w:r>
          </w:p>
        </w:tc>
      </w:tr>
      <w:tr>
        <w:trPr>
          <w:cantSplit w:val="0"/>
          <w:tblHeader w:val="0"/>
        </w:trPr>
        <w:tc>
          <w:tcPr/>
          <w:p w:rsidR="00000000" w:rsidDel="00000000" w:rsidP="00000000" w:rsidRDefault="00000000" w:rsidRPr="00000000" w14:paraId="00000047">
            <w:pPr>
              <w:ind w:firstLine="360"/>
              <w:rPr>
                <w:color w:val="000000"/>
                <w:sz w:val="20"/>
                <w:szCs w:val="20"/>
              </w:rPr>
            </w:pPr>
            <w:r w:rsidDel="00000000" w:rsidR="00000000" w:rsidRPr="00000000">
              <w:rPr>
                <w:color w:val="000000"/>
                <w:sz w:val="20"/>
                <w:szCs w:val="20"/>
                <w:rtl w:val="0"/>
              </w:rPr>
              <w:t xml:space="preserve">Shear loss angle </w:t>
            </w:r>
            <m:oMath>
              <m:r>
                <m:t>ϕ</m:t>
              </m:r>
              <m:d>
                <m:dPr>
                  <m:begChr m:val="("/>
                  <m:endChr m:val=")"/>
                  <m:ctrlPr>
                    <w:rPr>
                      <w:rFonts w:ascii="Cambria Math" w:cs="Cambria Math" w:eastAsia="Cambria Math" w:hAnsi="Cambria Math"/>
                      <w:color w:val="000000"/>
                      <w:sz w:val="20"/>
                      <w:szCs w:val="20"/>
                    </w:rPr>
                  </m:ctrlPr>
                </m:dPr>
                <m:e>
                  <m:r>
                    <w:rPr>
                      <w:rFonts w:ascii="Cambria Math" w:cs="Cambria Math" w:eastAsia="Cambria Math" w:hAnsi="Cambria Math"/>
                      <w:color w:val="000000"/>
                      <w:sz w:val="20"/>
                      <w:szCs w:val="20"/>
                    </w:rPr>
                    <m:t xml:space="preserve">f</m:t>
                  </m:r>
                </m:e>
              </m:d>
              <m:r>
                <w:rPr>
                  <w:rFonts w:ascii="Cambria Math" w:cs="Cambria Math" w:eastAsia="Cambria Math" w:hAnsi="Cambria Math"/>
                  <w:color w:val="000000"/>
                  <w:sz w:val="20"/>
                  <w:szCs w:val="20"/>
                </w:rPr>
                <m:t xml:space="preserve">=a </m:t>
              </m:r>
            </m:oMath>
            <w:r w:rsidDel="00000000" w:rsidR="00000000" w:rsidRPr="00000000">
              <w:rPr>
                <w:color w:val="000000"/>
                <w:sz w:val="20"/>
                <w:szCs w:val="20"/>
                <w:rtl w:val="0"/>
              </w:rPr>
              <w:t xml:space="preserve">(f/10kHz)</w:t>
            </w:r>
            <w:r w:rsidDel="00000000" w:rsidR="00000000" w:rsidRPr="00000000">
              <w:rPr>
                <w:color w:val="000000"/>
                <w:sz w:val="20"/>
                <w:szCs w:val="20"/>
                <w:vertAlign w:val="superscript"/>
                <w:rtl w:val="0"/>
              </w:rPr>
              <w:t xml:space="preserve">m</w:t>
            </w:r>
            <w:r w:rsidDel="00000000" w:rsidR="00000000" w:rsidRPr="00000000">
              <w:rPr>
                <w:rtl w:val="0"/>
              </w:rPr>
            </w:r>
          </w:p>
        </w:tc>
        <w:tc>
          <w:tcPr/>
          <w:p w:rsidR="00000000" w:rsidDel="00000000" w:rsidP="00000000" w:rsidRDefault="00000000" w:rsidRPr="00000000" w14:paraId="00000048">
            <w:pPr>
              <w:jc w:val="center"/>
              <w:rPr>
                <w:rFonts w:ascii="Cambria Math" w:cs="Cambria Math" w:eastAsia="Cambria Math" w:hAnsi="Cambria Math"/>
                <w:color w:val="000000"/>
                <w:sz w:val="20"/>
                <w:szCs w:val="20"/>
              </w:rPr>
            </w:pPr>
            <m:oMath>
              <m:sSub>
                <m:sSubPr>
                  <m:ctrlPr>
                    <w:rPr>
                      <w:rFonts w:ascii="Cambria Math" w:cs="Cambria Math" w:eastAsia="Cambria Math" w:hAnsi="Cambria Math"/>
                      <w:color w:val="000000"/>
                      <w:sz w:val="20"/>
                      <w:szCs w:val="20"/>
                    </w:rPr>
                  </m:ctrlPr>
                </m:sSubPr>
                <m:e>
                  <m:r>
                    <w:rPr>
                      <w:rFonts w:ascii="Cambria Math" w:cs="Cambria Math" w:eastAsia="Cambria Math" w:hAnsi="Cambria Math"/>
                      <w:color w:val="000000"/>
                      <w:sz w:val="20"/>
                      <w:szCs w:val="20"/>
                    </w:rPr>
                    <m:t xml:space="preserve">a</m:t>
                  </m:r>
                </m:e>
                <m:sub>
                  <m:r>
                    <w:rPr>
                      <w:rFonts w:ascii="Cambria Math" w:cs="Cambria Math" w:eastAsia="Cambria Math" w:hAnsi="Cambria Math"/>
                      <w:color w:val="000000"/>
                      <w:sz w:val="20"/>
                      <w:szCs w:val="20"/>
                    </w:rPr>
                    <m:t>μ</m:t>
                  </m:r>
                </m:sub>
              </m:sSub>
              <m:r>
                <w:rPr>
                  <w:rFonts w:ascii="Cambria Math" w:cs="Cambria Math" w:eastAsia="Cambria Math" w:hAnsi="Cambria Math"/>
                  <w:color w:val="000000"/>
                  <w:sz w:val="20"/>
                  <w:szCs w:val="20"/>
                </w:rPr>
                <m:t xml:space="preserve">=(</m:t>
              </m:r>
              <m:sSubSup>
                <m:sSubSupPr>
                  <m:ctrlPr>
                    <w:rPr>
                      <w:rFonts w:ascii="Cambria Math" w:cs="Cambria Math" w:eastAsia="Cambria Math" w:hAnsi="Cambria Math"/>
                      <w:color w:val="000000"/>
                      <w:sz w:val="20"/>
                      <w:szCs w:val="20"/>
                    </w:rPr>
                  </m:ctrlPr>
                </m:sSubSupPr>
                <m:e>
                  <m:r>
                    <w:rPr>
                      <w:rFonts w:ascii="Cambria Math" w:cs="Cambria Math" w:eastAsia="Cambria Math" w:hAnsi="Cambria Math"/>
                      <w:color w:val="000000"/>
                      <w:sz w:val="20"/>
                      <w:szCs w:val="20"/>
                    </w:rPr>
                    <m:t xml:space="preserve">8.4</m:t>
                  </m:r>
                </m:e>
                <m:sub>
                  <m:r>
                    <w:rPr>
                      <w:rFonts w:ascii="Cambria Math" w:cs="Cambria Math" w:eastAsia="Cambria Math" w:hAnsi="Cambria Math"/>
                      <w:color w:val="000000"/>
                      <w:sz w:val="20"/>
                      <w:szCs w:val="20"/>
                    </w:rPr>
                    <m:t xml:space="preserve">-4.0</m:t>
                  </m:r>
                </m:sub>
                <m:sup>
                  <m:r>
                    <w:rPr>
                      <w:rFonts w:ascii="Cambria Math" w:cs="Cambria Math" w:eastAsia="Cambria Math" w:hAnsi="Cambria Math"/>
                      <w:color w:val="000000"/>
                      <w:sz w:val="20"/>
                      <w:szCs w:val="20"/>
                    </w:rPr>
                    <m:t xml:space="preserve">+2.9</m:t>
                  </m:r>
                </m:sup>
              </m:sSubSup>
              <m:r>
                <w:rPr>
                  <w:rFonts w:ascii="Cambria Math" w:cs="Cambria Math" w:eastAsia="Cambria Math" w:hAnsi="Cambria Math"/>
                  <w:color w:val="000000"/>
                  <w:sz w:val="20"/>
                  <w:szCs w:val="20"/>
                </w:rPr>
                <m:t xml:space="preserve">)×</m:t>
              </m:r>
              <m:sSup>
                <m:sSupPr>
                  <m:ctrlPr>
                    <w:rPr>
                      <w:rFonts w:ascii="Cambria Math" w:cs="Cambria Math" w:eastAsia="Cambria Math" w:hAnsi="Cambria Math"/>
                      <w:color w:val="000000"/>
                      <w:sz w:val="20"/>
                      <w:szCs w:val="20"/>
                    </w:rPr>
                  </m:ctrlPr>
                </m:sSupPr>
                <m:e>
                  <m:r>
                    <w:rPr>
                      <w:rFonts w:ascii="Cambria Math" w:cs="Cambria Math" w:eastAsia="Cambria Math" w:hAnsi="Cambria Math"/>
                      <w:color w:val="000000"/>
                      <w:sz w:val="20"/>
                      <w:szCs w:val="20"/>
                    </w:rPr>
                    <m:t xml:space="preserve">10</m:t>
                  </m:r>
                </m:e>
                <m:sup>
                  <m:r>
                    <w:rPr>
                      <w:rFonts w:ascii="Cambria Math" w:cs="Cambria Math" w:eastAsia="Cambria Math" w:hAnsi="Cambria Math"/>
                      <w:color w:val="000000"/>
                      <w:sz w:val="20"/>
                      <w:szCs w:val="20"/>
                    </w:rPr>
                    <m:t xml:space="preserve">-5</m:t>
                  </m:r>
                </m:sup>
              </m:sSup>
            </m:oMath>
            <w:r w:rsidDel="00000000" w:rsidR="00000000" w:rsidRPr="00000000">
              <w:rPr>
                <w:rtl w:val="0"/>
              </w:rPr>
            </w:r>
          </w:p>
          <w:p w:rsidR="00000000" w:rsidDel="00000000" w:rsidP="00000000" w:rsidRDefault="00000000" w:rsidRPr="00000000" w14:paraId="00000049">
            <w:pPr>
              <w:jc w:val="center"/>
              <w:rPr>
                <w:rFonts w:ascii="Cambria Math" w:cs="Cambria Math" w:eastAsia="Cambria Math" w:hAnsi="Cambria Math"/>
                <w:color w:val="000000"/>
                <w:sz w:val="20"/>
                <w:szCs w:val="20"/>
              </w:rPr>
            </w:pPr>
            <m:oMath>
              <m:sSub>
                <m:sSubPr>
                  <m:ctrlPr>
                    <w:rPr>
                      <w:rFonts w:ascii="Cambria Math" w:cs="Cambria Math" w:eastAsia="Cambria Math" w:hAnsi="Cambria Math"/>
                      <w:color w:val="000000"/>
                      <w:sz w:val="20"/>
                      <w:szCs w:val="20"/>
                    </w:rPr>
                  </m:ctrlPr>
                </m:sSubPr>
                <m:e>
                  <m:r>
                    <w:rPr>
                      <w:rFonts w:ascii="Cambria Math" w:cs="Cambria Math" w:eastAsia="Cambria Math" w:hAnsi="Cambria Math"/>
                      <w:color w:val="000000"/>
                      <w:sz w:val="20"/>
                      <w:szCs w:val="20"/>
                    </w:rPr>
                    <m:t xml:space="preserve">m</m:t>
                  </m:r>
                </m:e>
                <m:sub>
                  <m:r>
                    <w:rPr>
                      <w:rFonts w:ascii="Cambria Math" w:cs="Cambria Math" w:eastAsia="Cambria Math" w:hAnsi="Cambria Math"/>
                      <w:color w:val="000000"/>
                      <w:sz w:val="20"/>
                      <w:szCs w:val="20"/>
                    </w:rPr>
                    <m:t>μ</m:t>
                  </m:r>
                </m:sub>
              </m:sSub>
              <m:r>
                <w:rPr>
                  <w:rFonts w:ascii="Cambria Math" w:cs="Cambria Math" w:eastAsia="Cambria Math" w:hAnsi="Cambria Math"/>
                  <w:color w:val="000000"/>
                  <w:sz w:val="20"/>
                  <w:szCs w:val="20"/>
                </w:rPr>
                <m:t xml:space="preserve">=</m:t>
              </m:r>
              <m:sSubSup>
                <m:sSubSupPr>
                  <m:ctrlPr>
                    <w:rPr>
                      <w:rFonts w:ascii="Cambria Math" w:cs="Cambria Math" w:eastAsia="Cambria Math" w:hAnsi="Cambria Math"/>
                      <w:color w:val="000000"/>
                      <w:sz w:val="20"/>
                      <w:szCs w:val="20"/>
                    </w:rPr>
                  </m:ctrlPr>
                </m:sSubSupPr>
                <m:e>
                  <m:r>
                    <w:rPr>
                      <w:rFonts w:ascii="Cambria Math" w:cs="Cambria Math" w:eastAsia="Cambria Math" w:hAnsi="Cambria Math"/>
                      <w:color w:val="000000"/>
                      <w:sz w:val="20"/>
                      <w:szCs w:val="20"/>
                    </w:rPr>
                    <m:t xml:space="preserve">-0.06</m:t>
                  </m:r>
                </m:e>
                <m:sub>
                  <m:r>
                    <w:rPr>
                      <w:rFonts w:ascii="Cambria Math" w:cs="Cambria Math" w:eastAsia="Cambria Math" w:hAnsi="Cambria Math"/>
                      <w:color w:val="000000"/>
                      <w:sz w:val="20"/>
                      <w:szCs w:val="20"/>
                    </w:rPr>
                    <m:t xml:space="preserve">-0.30</m:t>
                  </m:r>
                </m:sub>
                <m:sup>
                  <m:r>
                    <w:rPr>
                      <w:rFonts w:ascii="Cambria Math" w:cs="Cambria Math" w:eastAsia="Cambria Math" w:hAnsi="Cambria Math"/>
                      <w:color w:val="000000"/>
                      <w:sz w:val="20"/>
                      <w:szCs w:val="20"/>
                    </w:rPr>
                    <m:t xml:space="preserve">+0.15</m:t>
                  </m:r>
                </m:sup>
              </m:sSubSup>
            </m:oMath>
            <w:r w:rsidDel="00000000" w:rsidR="00000000" w:rsidRPr="00000000">
              <w:rPr>
                <w:rtl w:val="0"/>
              </w:rPr>
            </w:r>
          </w:p>
        </w:tc>
      </w:tr>
    </w:tbl>
    <w:p w:rsidR="00000000" w:rsidDel="00000000" w:rsidP="00000000" w:rsidRDefault="00000000" w:rsidRPr="00000000" w14:paraId="0000004A">
      <w:pPr>
        <w:pStyle w:val="Heading2"/>
        <w:spacing w:before="40" w:lineRule="auto"/>
        <w:ind w:left="0" w:firstLine="0"/>
        <w:rPr/>
      </w:pPr>
      <w:bookmarkStart w:colFirst="0" w:colLast="0" w:name="_heading=h.f28qaplorgkb" w:id="17"/>
      <w:bookmarkEnd w:id="17"/>
      <w:r w:rsidDel="00000000" w:rsidR="00000000" w:rsidRPr="00000000">
        <w:rPr>
          <w:rtl w:val="0"/>
        </w:rPr>
      </w:r>
    </w:p>
    <w:p w:rsidR="00000000" w:rsidDel="00000000" w:rsidP="00000000" w:rsidRDefault="00000000" w:rsidRPr="00000000" w14:paraId="0000004B">
      <w:pPr>
        <w:pStyle w:val="Heading2"/>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20" w:before="60" w:line="288" w:lineRule="auto"/>
        <w:ind w:left="1440" w:right="0" w:hanging="360"/>
        <w:jc w:val="left"/>
      </w:pPr>
      <w:bookmarkStart w:colFirst="0" w:colLast="0" w:name="_heading=h.uyoclzyp6ivi" w:id="18"/>
      <w:bookmarkEnd w:id="18"/>
      <w:r w:rsidDel="00000000" w:rsidR="00000000" w:rsidRPr="00000000">
        <w:rPr>
          <w:rtl w:val="0"/>
        </w:rPr>
        <w:t xml:space="preserve">Coating Thermal Noise</w:t>
      </w:r>
    </w:p>
    <w:p w:rsidR="00000000" w:rsidDel="00000000" w:rsidP="00000000" w:rsidRDefault="00000000" w:rsidRPr="00000000" w14:paraId="0000004C">
      <w:pPr>
        <w:ind w:firstLine="720"/>
        <w:jc w:val="both"/>
        <w:rPr/>
      </w:pPr>
      <w:r w:rsidDel="00000000" w:rsidR="00000000" w:rsidRPr="00000000">
        <w:rPr>
          <w:rtl w:val="0"/>
        </w:rPr>
        <w:t xml:space="preserve">Based on the measured refractive index, ITM and ETM coatings were designed with a target transmission of 1.4% for the ITM and 5 ppm for the ETM. The ITM is a stack of 22 layers, the top being 0.5</w:t>
      </w:r>
      <w:r w:rsidDel="00000000" w:rsidR="00000000" w:rsidRPr="00000000">
        <w:rPr>
          <w:rFonts w:ascii="Symbol" w:cs="Symbol" w:eastAsia="Symbol" w:hAnsi="Symbol"/>
          <w:rtl w:val="0"/>
        </w:rPr>
        <w:t xml:space="preserve">λ</w:t>
      </w:r>
      <w:r w:rsidDel="00000000" w:rsidR="00000000" w:rsidRPr="00000000">
        <w:rPr>
          <w:rtl w:val="0"/>
        </w:rPr>
        <w:t xml:space="preserve"> of silica, and the others alternating 0.193</w:t>
      </w:r>
      <w:r w:rsidDel="00000000" w:rsidR="00000000" w:rsidRPr="00000000">
        <w:rPr>
          <w:rFonts w:ascii="Symbol" w:cs="Symbol" w:eastAsia="Symbol" w:hAnsi="Symbol"/>
          <w:rtl w:val="0"/>
        </w:rPr>
        <w:t xml:space="preserve">λ</w:t>
      </w:r>
      <w:r w:rsidDel="00000000" w:rsidR="00000000" w:rsidRPr="00000000">
        <w:rPr>
          <w:rtl w:val="0"/>
        </w:rPr>
        <w:t xml:space="preserve"> of titania-germania and 0.313</w:t>
      </w:r>
      <w:r w:rsidDel="00000000" w:rsidR="00000000" w:rsidRPr="00000000">
        <w:rPr>
          <w:rFonts w:ascii="Symbol" w:cs="Symbol" w:eastAsia="Symbol" w:hAnsi="Symbol"/>
          <w:rtl w:val="0"/>
        </w:rPr>
        <w:t xml:space="preserve">λ</w:t>
      </w:r>
      <w:r w:rsidDel="00000000" w:rsidR="00000000" w:rsidRPr="00000000">
        <w:rPr>
          <w:rtl w:val="0"/>
        </w:rPr>
        <w:t xml:space="preserve"> of silica. The ETM is a stack of 52 layers, the top being 0.5</w:t>
      </w:r>
      <w:r w:rsidDel="00000000" w:rsidR="00000000" w:rsidRPr="00000000">
        <w:rPr>
          <w:rFonts w:ascii="Symbol" w:cs="Symbol" w:eastAsia="Symbol" w:hAnsi="Symbol"/>
          <w:rtl w:val="0"/>
        </w:rPr>
        <w:t xml:space="preserve">λ</w:t>
      </w:r>
      <w:r w:rsidDel="00000000" w:rsidR="00000000" w:rsidRPr="00000000">
        <w:rPr>
          <w:rtl w:val="0"/>
        </w:rPr>
        <w:t xml:space="preserve"> of silica, and the others alternating 0.223</w:t>
      </w:r>
      <w:r w:rsidDel="00000000" w:rsidR="00000000" w:rsidRPr="00000000">
        <w:rPr>
          <w:rFonts w:ascii="Symbol" w:cs="Symbol" w:eastAsia="Symbol" w:hAnsi="Symbol"/>
          <w:rtl w:val="0"/>
        </w:rPr>
        <w:t xml:space="preserve">λ</w:t>
      </w:r>
      <w:r w:rsidDel="00000000" w:rsidR="00000000" w:rsidRPr="00000000">
        <w:rPr>
          <w:rtl w:val="0"/>
        </w:rPr>
        <w:t xml:space="preserve"> of titania-germania and 0.281</w:t>
      </w:r>
      <w:r w:rsidDel="00000000" w:rsidR="00000000" w:rsidRPr="00000000">
        <w:rPr>
          <w:rFonts w:ascii="Symbol" w:cs="Symbol" w:eastAsia="Symbol" w:hAnsi="Symbol"/>
          <w:rtl w:val="0"/>
        </w:rPr>
        <w:t xml:space="preserve">λ</w:t>
      </w:r>
      <w:r w:rsidDel="00000000" w:rsidR="00000000" w:rsidRPr="00000000">
        <w:rPr>
          <w:rtl w:val="0"/>
        </w:rPr>
        <w:t xml:space="preserve"> of silica.</w:t>
      </w:r>
    </w:p>
    <w:p w:rsidR="00000000" w:rsidDel="00000000" w:rsidP="00000000" w:rsidRDefault="00000000" w:rsidRPr="00000000" w14:paraId="0000004D">
      <w:pPr>
        <w:ind w:firstLine="720"/>
        <w:jc w:val="both"/>
        <w:rPr>
          <w:rFonts w:ascii="Arial" w:cs="Arial" w:eastAsia="Arial" w:hAnsi="Arial"/>
          <w:color w:val="000000"/>
        </w:rPr>
      </w:pPr>
      <w:r w:rsidDel="00000000" w:rsidR="00000000" w:rsidRPr="00000000">
        <w:rPr>
          <w:rFonts w:ascii="Arial" w:cs="Arial" w:eastAsia="Arial" w:hAnsi="Arial"/>
          <w:color w:val="000000"/>
          <w:rtl w:val="0"/>
        </w:rPr>
        <w:t xml:space="preserve">We computed the coating Brownian noise based on this design, the measurements from the single layer reported above, and the model from [3]. Figure 2 shows that the predicted Brownian noise, extrapolated down to 100 Hz, meets the Advanced LIGO+ requirements.</w:t>
      </w:r>
    </w:p>
    <w:p w:rsidR="00000000" w:rsidDel="00000000" w:rsidP="00000000" w:rsidRDefault="00000000" w:rsidRPr="00000000" w14:paraId="0000004E">
      <w:pPr>
        <w:ind w:firstLine="360"/>
        <w:rPr>
          <w:sz w:val="20"/>
          <w:szCs w:val="20"/>
        </w:rPr>
      </w:pPr>
      <w:r w:rsidDel="00000000" w:rsidR="00000000" w:rsidRPr="00000000">
        <w:rPr>
          <w:rtl w:val="0"/>
        </w:rPr>
      </w:r>
    </w:p>
    <w:p w:rsidR="00000000" w:rsidDel="00000000" w:rsidP="00000000" w:rsidRDefault="00000000" w:rsidRPr="00000000" w14:paraId="0000004F">
      <w:pPr>
        <w:pStyle w:val="Subtitle"/>
        <w:keepNext w:val="1"/>
        <w:ind w:firstLine="360"/>
        <w:jc w:val="center"/>
        <w:rPr/>
      </w:pPr>
      <w:r w:rsidDel="00000000" w:rsidR="00000000" w:rsidRPr="00000000">
        <w:rPr>
          <w:sz w:val="32"/>
          <w:szCs w:val="32"/>
        </w:rPr>
        <w:drawing>
          <wp:inline distB="0" distT="0" distL="0" distR="0">
            <wp:extent cx="3086100" cy="2286000"/>
            <wp:effectExtent b="0" l="0" r="0" t="0"/>
            <wp:docPr id="4" name="image2.png"/>
            <a:graphic>
              <a:graphicData uri="http://schemas.openxmlformats.org/drawingml/2006/picture">
                <pic:pic>
                  <pic:nvPicPr>
                    <pic:cNvPr id="0" name="image2.png"/>
                    <pic:cNvPicPr preferRelativeResize="0"/>
                  </pic:nvPicPr>
                  <pic:blipFill>
                    <a:blip r:embed="rId11"/>
                    <a:srcRect b="0" l="0" r="0" t="0"/>
                    <a:stretch>
                      <a:fillRect/>
                    </a:stretch>
                  </pic:blipFill>
                  <pic:spPr>
                    <a:xfrm>
                      <a:off x="0" y="0"/>
                      <a:ext cx="3086100" cy="2286000"/>
                    </a:xfrm>
                    <a:prstGeom prst="rect"/>
                    <a:ln/>
                  </pic:spPr>
                </pic:pic>
              </a:graphicData>
            </a:graphic>
          </wp:inline>
        </w:drawing>
      </w: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200" w:before="0" w:line="240" w:lineRule="auto"/>
        <w:ind w:left="567" w:right="0" w:firstLine="0"/>
        <w:jc w:val="left"/>
        <w:rPr>
          <w:rFonts w:ascii="Arial" w:cs="Arial" w:eastAsia="Arial" w:hAnsi="Arial"/>
          <w:color w:val="000000"/>
        </w:rPr>
      </w:pPr>
      <w:r w:rsidDel="00000000" w:rsidR="00000000" w:rsidRPr="00000000">
        <w:rPr>
          <w:rFonts w:ascii="Calibri" w:cs="Calibri" w:eastAsia="Calibri" w:hAnsi="Calibri"/>
          <w:b w:val="0"/>
          <w:i w:val="1"/>
          <w:smallCaps w:val="0"/>
          <w:strike w:val="0"/>
          <w:color w:val="44546a"/>
          <w:sz w:val="18"/>
          <w:szCs w:val="18"/>
          <w:u w:val="none"/>
          <w:shd w:fill="auto" w:val="clear"/>
          <w:vertAlign w:val="baseline"/>
          <w:rtl w:val="0"/>
        </w:rPr>
        <w:t xml:space="preserve">Figure 2. Predicted Brownian noise for ITM and ETM stacks made of alternating layers of titania-germania and silica.</w:t>
      </w:r>
      <w:r w:rsidDel="00000000" w:rsidR="00000000" w:rsidRPr="00000000">
        <w:rPr>
          <w:rtl w:val="0"/>
        </w:rPr>
      </w:r>
    </w:p>
    <w:p w:rsidR="00000000" w:rsidDel="00000000" w:rsidP="00000000" w:rsidRDefault="00000000" w:rsidRPr="00000000" w14:paraId="00000051">
      <w:pPr>
        <w:pStyle w:val="Heading2"/>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20" w:before="60" w:line="288" w:lineRule="auto"/>
        <w:ind w:left="1440" w:right="0" w:hanging="360"/>
        <w:jc w:val="left"/>
      </w:pPr>
      <w:bookmarkStart w:colFirst="0" w:colLast="0" w:name="_heading=h.ovlp7rt8hkcv" w:id="19"/>
      <w:bookmarkEnd w:id="19"/>
      <w:r w:rsidDel="00000000" w:rsidR="00000000" w:rsidRPr="00000000">
        <w:rPr>
          <w:b w:val="1"/>
          <w:rtl w:val="0"/>
        </w:rPr>
        <w:t xml:space="preserve">Readiness</w:t>
      </w:r>
      <w:r w:rsidDel="00000000" w:rsidR="00000000" w:rsidRPr="00000000">
        <w:rPr>
          <w:rtl w:val="0"/>
        </w:rPr>
      </w:r>
    </w:p>
    <w:p w:rsidR="00000000" w:rsidDel="00000000" w:rsidP="00000000" w:rsidRDefault="00000000" w:rsidRPr="00000000" w14:paraId="00000052">
      <w:pPr>
        <w:ind w:firstLine="720"/>
        <w:jc w:val="both"/>
        <w:rPr/>
      </w:pPr>
      <w:r w:rsidDel="00000000" w:rsidR="00000000" w:rsidRPr="00000000">
        <w:rPr>
          <w:rtl w:val="0"/>
        </w:rPr>
        <w:t xml:space="preserve">Titania-germania films with good optical quality and low optical absorption can be produced by ion beam sputtering and the deposition procedure should be easily transferable to industrial systems. The level of optical absorption obtained for a full CSU HR stack was 3-3.5 ppm after 600 C annealing. This is comparable to what could be achieved in other oxides in the LMA Spector system, for materials that were then pushed under 1 ppm absorption in the LMA Grand Coater.</w:t>
      </w:r>
    </w:p>
    <w:p w:rsidR="00000000" w:rsidDel="00000000" w:rsidP="00000000" w:rsidRDefault="00000000" w:rsidRPr="00000000" w14:paraId="00000053">
      <w:pPr>
        <w:ind w:firstLine="720"/>
        <w:jc w:val="both"/>
        <w:rPr/>
      </w:pPr>
      <w:r w:rsidDel="00000000" w:rsidR="00000000" w:rsidRPr="00000000">
        <w:rPr>
          <w:rFonts w:ascii="Arial" w:cs="Arial" w:eastAsia="Arial" w:hAnsi="Arial"/>
          <w:color w:val="000000"/>
          <w:rtl w:val="0"/>
        </w:rPr>
        <w:t xml:space="preserve">An HR stack (Ti:GeO2 and SiO2) was also produced by Cutting Edge Coatings (54 layer quarter-wave stack, T = 6 ppm). This mirror was measured in the MIT Coating Thermal Noise (CTN) setup. After the 600 C/100 hr annealing, the thermal noise was measured to be 75% of the current Ti:TaO5 coatings, although at that point the coating showed lots of bubbles/blistering (see below). The</w:t>
      </w:r>
      <w:r w:rsidDel="00000000" w:rsidR="00000000" w:rsidRPr="00000000">
        <w:rPr>
          <w:rtl w:val="0"/>
        </w:rPr>
        <w:t xml:space="preserve"> </w:t>
      </w:r>
      <w:r w:rsidDel="00000000" w:rsidR="00000000" w:rsidRPr="00000000">
        <w:rPr>
          <w:rFonts w:ascii="Arial" w:cs="Arial" w:eastAsia="Arial" w:hAnsi="Arial"/>
          <w:color w:val="000000"/>
          <w:rtl w:val="0"/>
        </w:rPr>
        <w:t xml:space="preserve">measurement setup also inferred an absorption of 0.14 ppm, although this was not a direct measurement and has not been verified via Photothermal Common</w:t>
      </w:r>
      <w:r w:rsidDel="00000000" w:rsidR="00000000" w:rsidRPr="00000000">
        <w:rPr>
          <w:rtl w:val="0"/>
        </w:rPr>
        <w:t xml:space="preserve">-</w:t>
      </w:r>
      <w:r w:rsidDel="00000000" w:rsidR="00000000" w:rsidRPr="00000000">
        <w:rPr>
          <w:rFonts w:ascii="Arial" w:cs="Arial" w:eastAsia="Arial" w:hAnsi="Arial"/>
          <w:color w:val="000000"/>
          <w:rtl w:val="0"/>
        </w:rPr>
        <w:t xml:space="preserve">p</w:t>
      </w:r>
      <w:r w:rsidDel="00000000" w:rsidR="00000000" w:rsidRPr="00000000">
        <w:rPr>
          <w:rtl w:val="0"/>
        </w:rPr>
        <w:t xml:space="preserve">ath </w:t>
      </w:r>
      <w:r w:rsidDel="00000000" w:rsidR="00000000" w:rsidRPr="00000000">
        <w:rPr>
          <w:rFonts w:ascii="Arial" w:cs="Arial" w:eastAsia="Arial" w:hAnsi="Arial"/>
          <w:color w:val="000000"/>
          <w:rtl w:val="0"/>
        </w:rPr>
        <w:t xml:space="preserve">Interfero</w:t>
      </w:r>
      <w:r w:rsidDel="00000000" w:rsidR="00000000" w:rsidRPr="00000000">
        <w:rPr>
          <w:rtl w:val="0"/>
        </w:rPr>
        <w:t xml:space="preserve">metry (PCI)</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54">
      <w:pPr>
        <w:pStyle w:val="Heading2"/>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120" w:before="60" w:line="288" w:lineRule="auto"/>
        <w:ind w:left="1440" w:right="0" w:hanging="360"/>
        <w:jc w:val="both"/>
      </w:pPr>
      <w:bookmarkStart w:colFirst="0" w:colLast="0" w:name="_heading=h.vm5lr69l3ztj" w:id="20"/>
      <w:bookmarkEnd w:id="20"/>
      <w:r w:rsidDel="00000000" w:rsidR="00000000" w:rsidRPr="00000000">
        <w:rPr>
          <w:rtl w:val="0"/>
        </w:rPr>
        <w:t xml:space="preserve">Risks</w:t>
      </w:r>
      <w:r w:rsidDel="00000000" w:rsidR="00000000" w:rsidRPr="00000000">
        <w:rPr>
          <w:b w:val="1"/>
          <w:rtl w:val="0"/>
        </w:rPr>
        <w:t xml:space="preserve"> and unknowns</w:t>
      </w:r>
      <w:r w:rsidDel="00000000" w:rsidR="00000000" w:rsidRPr="00000000">
        <w:rPr>
          <w:rtl w:val="0"/>
        </w:rPr>
        <w:t xml:space="preserve">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88" w:lineRule="auto"/>
        <w:ind w:left="720" w:right="0" w:firstLine="0"/>
        <w:jc w:val="both"/>
        <w:rPr>
          <w:rFonts w:ascii="Arial" w:cs="Arial" w:eastAsia="Arial" w:hAnsi="Arial"/>
          <w:color w:val="000000"/>
        </w:rPr>
      </w:pPr>
      <w:r w:rsidDel="00000000" w:rsidR="00000000" w:rsidRPr="00000000">
        <w:rPr>
          <w:rtl w:val="0"/>
        </w:rPr>
        <w:t xml:space="preserve">The</w:t>
      </w:r>
      <w:r w:rsidDel="00000000" w:rsidR="00000000" w:rsidRPr="00000000">
        <w:rPr>
          <w:rFonts w:ascii="Arial" w:cs="Arial" w:eastAsia="Arial" w:hAnsi="Arial"/>
          <w:color w:val="000000"/>
          <w:rtl w:val="0"/>
        </w:rPr>
        <w:t xml:space="preserve"> main problem now is that multilayer stacks, when annealed at temperatures above about 500</w:t>
      </w:r>
      <w:r w:rsidDel="00000000" w:rsidR="00000000" w:rsidRPr="00000000">
        <w:rPr>
          <w:rFonts w:ascii="Arial" w:cs="Arial" w:eastAsia="Arial" w:hAnsi="Arial"/>
          <w:color w:val="000000"/>
          <w:vertAlign w:val="superscript"/>
          <w:rtl w:val="0"/>
        </w:rPr>
        <w:t xml:space="preserve">O</w:t>
      </w:r>
      <w:r w:rsidDel="00000000" w:rsidR="00000000" w:rsidRPr="00000000">
        <w:rPr>
          <w:rFonts w:ascii="Arial" w:cs="Arial" w:eastAsia="Arial" w:hAnsi="Arial"/>
          <w:color w:val="000000"/>
          <w:rtl w:val="0"/>
        </w:rPr>
        <w:t xml:space="preserve">C, form a lot of bubbles: small defects (one to a few mm) where the coating is delaminated. Research is ongoing to understand the origin of this problem. There is evidence that the amount of blistering is lower when the substrate surface has higher quality (lower RMS). The most likely causes for the formation of those bubbles is stress in the film as deposited or after annealing, and/or accumulation of argon trapped in the coating.</w:t>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88" w:lineRule="auto"/>
        <w:ind w:left="720" w:right="0" w:firstLine="0"/>
        <w:jc w:val="both"/>
        <w:rPr>
          <w:rFonts w:ascii="Arial" w:cs="Arial" w:eastAsia="Arial" w:hAnsi="Arial"/>
          <w:color w:val="000000"/>
        </w:rPr>
      </w:pPr>
      <w:r w:rsidDel="00000000" w:rsidR="00000000" w:rsidRPr="00000000">
        <w:rPr>
          <w:rtl w:val="0"/>
        </w:rPr>
        <w:t xml:space="preserve">Additionally</w:t>
      </w:r>
      <w:r w:rsidDel="00000000" w:rsidR="00000000" w:rsidRPr="00000000">
        <w:rPr>
          <w:rFonts w:ascii="Arial" w:cs="Arial" w:eastAsia="Arial" w:hAnsi="Arial"/>
          <w:color w:val="000000"/>
          <w:rtl w:val="0"/>
        </w:rPr>
        <w:t xml:space="preserve">, the mechanical loss angles have been measured at 1 kHz and above, so the Brownian noise prediction is an extrapolation from the frequency </w:t>
      </w:r>
      <w:r w:rsidDel="00000000" w:rsidR="00000000" w:rsidRPr="00000000">
        <w:rPr>
          <w:rtl w:val="0"/>
        </w:rPr>
        <w:t xml:space="preserve">dependence</w:t>
      </w:r>
      <w:r w:rsidDel="00000000" w:rsidR="00000000" w:rsidRPr="00000000">
        <w:rPr>
          <w:rFonts w:ascii="Arial" w:cs="Arial" w:eastAsia="Arial" w:hAnsi="Arial"/>
          <w:color w:val="000000"/>
          <w:rtl w:val="0"/>
        </w:rPr>
        <w:t xml:space="preserve"> of the loss angles. A direct measurement of thermal noise on a defect-free annealed sample has not been possible yet.</w:t>
      </w:r>
    </w:p>
    <w:p w:rsidR="00000000" w:rsidDel="00000000" w:rsidP="00000000" w:rsidRDefault="00000000" w:rsidRPr="00000000" w14:paraId="00000057">
      <w:pPr>
        <w:pStyle w:val="Heading2"/>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afterAutospacing="0" w:before="60" w:line="288" w:lineRule="auto"/>
        <w:ind w:left="1440" w:right="0" w:hanging="360"/>
        <w:jc w:val="both"/>
      </w:pPr>
      <w:bookmarkStart w:colFirst="0" w:colLast="0" w:name="_heading=h.4i8eqap1allk" w:id="21"/>
      <w:bookmarkEnd w:id="21"/>
      <w:r w:rsidDel="00000000" w:rsidR="00000000" w:rsidRPr="00000000">
        <w:rPr>
          <w:rFonts w:ascii="Arial" w:cs="Arial" w:eastAsia="Arial" w:hAnsi="Arial"/>
          <w:b w:val="1"/>
          <w:color w:val="000000"/>
          <w:rtl w:val="0"/>
        </w:rPr>
        <w:t xml:space="preserve">Pros</w:t>
      </w:r>
    </w:p>
    <w:p w:rsidR="00000000" w:rsidDel="00000000" w:rsidP="00000000" w:rsidRDefault="00000000" w:rsidRPr="00000000" w14:paraId="0000005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88" w:lineRule="auto"/>
        <w:ind w:left="1440" w:right="0" w:hanging="360"/>
        <w:jc w:val="both"/>
        <w:rPr>
          <w:u w:val="none"/>
        </w:rPr>
      </w:pPr>
      <w:r w:rsidDel="00000000" w:rsidR="00000000" w:rsidRPr="00000000">
        <w:rPr>
          <w:rtl w:val="0"/>
        </w:rPr>
        <w:t xml:space="preserve">The</w:t>
      </w:r>
      <w:r w:rsidDel="00000000" w:rsidR="00000000" w:rsidRPr="00000000">
        <w:rPr>
          <w:rFonts w:ascii="Arial" w:cs="Arial" w:eastAsia="Arial" w:hAnsi="Arial"/>
          <w:color w:val="000000"/>
          <w:rtl w:val="0"/>
        </w:rPr>
        <w:t xml:space="preserve"> material is a standard oxide based on commonly used metals, so it should be easily adapted to any deposition chamber.</w:t>
      </w:r>
    </w:p>
    <w:p w:rsidR="00000000" w:rsidDel="00000000" w:rsidP="00000000" w:rsidRDefault="00000000" w:rsidRPr="00000000" w14:paraId="00000059">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88" w:lineRule="auto"/>
        <w:ind w:left="1440" w:right="0" w:hanging="360"/>
        <w:jc w:val="both"/>
        <w:rPr>
          <w:u w:val="none"/>
        </w:rPr>
      </w:pPr>
      <w:r w:rsidDel="00000000" w:rsidR="00000000" w:rsidRPr="00000000">
        <w:rPr>
          <w:rtl w:val="0"/>
        </w:rPr>
        <w:t xml:space="preserve">The</w:t>
      </w:r>
      <w:r w:rsidDel="00000000" w:rsidR="00000000" w:rsidRPr="00000000">
        <w:rPr>
          <w:rFonts w:ascii="Arial" w:cs="Arial" w:eastAsia="Arial" w:hAnsi="Arial"/>
          <w:color w:val="000000"/>
          <w:rtl w:val="0"/>
        </w:rPr>
        <w:t xml:space="preserve"> </w:t>
      </w:r>
      <w:r w:rsidDel="00000000" w:rsidR="00000000" w:rsidRPr="00000000">
        <w:rPr>
          <w:rtl w:val="0"/>
        </w:rPr>
        <w:t xml:space="preserve">o</w:t>
      </w:r>
      <w:r w:rsidDel="00000000" w:rsidR="00000000" w:rsidRPr="00000000">
        <w:rPr>
          <w:rFonts w:ascii="Arial" w:cs="Arial" w:eastAsia="Arial" w:hAnsi="Arial"/>
          <w:color w:val="000000"/>
          <w:rtl w:val="0"/>
        </w:rPr>
        <w:t xml:space="preserve">ptical absorption is as low as expected when deposited in the CSU Spector system.</w:t>
      </w:r>
    </w:p>
    <w:p w:rsidR="00000000" w:rsidDel="00000000" w:rsidP="00000000" w:rsidRDefault="00000000" w:rsidRPr="00000000" w14:paraId="0000005A">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afterAutospacing="0" w:before="0" w:beforeAutospacing="0" w:line="288" w:lineRule="auto"/>
        <w:ind w:left="1440" w:right="0" w:hanging="360"/>
        <w:jc w:val="both"/>
        <w:rPr>
          <w:u w:val="none"/>
        </w:rPr>
      </w:pPr>
      <w:r w:rsidDel="00000000" w:rsidR="00000000" w:rsidRPr="00000000">
        <w:rPr>
          <w:rtl w:val="0"/>
        </w:rPr>
        <w:t xml:space="preserve">The</w:t>
      </w:r>
      <w:r w:rsidDel="00000000" w:rsidR="00000000" w:rsidRPr="00000000">
        <w:rPr>
          <w:rFonts w:ascii="Arial" w:cs="Arial" w:eastAsia="Arial" w:hAnsi="Arial"/>
          <w:color w:val="000000"/>
          <w:rtl w:val="0"/>
        </w:rPr>
        <w:t xml:space="preserve"> </w:t>
      </w:r>
      <w:r w:rsidDel="00000000" w:rsidR="00000000" w:rsidRPr="00000000">
        <w:rPr>
          <w:rtl w:val="0"/>
        </w:rPr>
        <w:t xml:space="preserve">B</w:t>
      </w:r>
      <w:r w:rsidDel="00000000" w:rsidR="00000000" w:rsidRPr="00000000">
        <w:rPr>
          <w:rFonts w:ascii="Arial" w:cs="Arial" w:eastAsia="Arial" w:hAnsi="Arial"/>
          <w:color w:val="000000"/>
          <w:rtl w:val="0"/>
        </w:rPr>
        <w:t xml:space="preserve">rownian noise is predicted to meet the A+ goal, based on thin film </w:t>
      </w:r>
      <w:r w:rsidDel="00000000" w:rsidR="00000000" w:rsidRPr="00000000">
        <w:rPr>
          <w:rtl w:val="0"/>
        </w:rPr>
        <w:t xml:space="preserve">mechanical loss</w:t>
      </w:r>
      <w:r w:rsidDel="00000000" w:rsidR="00000000" w:rsidRPr="00000000">
        <w:rPr>
          <w:rFonts w:ascii="Arial" w:cs="Arial" w:eastAsia="Arial" w:hAnsi="Arial"/>
          <w:color w:val="000000"/>
          <w:rtl w:val="0"/>
        </w:rPr>
        <w:t xml:space="preserve"> measurements.</w:t>
      </w:r>
    </w:p>
    <w:p w:rsidR="00000000" w:rsidDel="00000000" w:rsidP="00000000" w:rsidRDefault="00000000" w:rsidRPr="00000000" w14:paraId="0000005B">
      <w:pPr>
        <w:pStyle w:val="Heading2"/>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afterAutospacing="0" w:before="0" w:beforeAutospacing="0" w:line="288" w:lineRule="auto"/>
        <w:ind w:left="1440" w:right="0" w:hanging="360"/>
        <w:jc w:val="both"/>
      </w:pPr>
      <w:bookmarkStart w:colFirst="0" w:colLast="0" w:name="_heading=h.5a9ry43rrpaa" w:id="22"/>
      <w:bookmarkEnd w:id="22"/>
      <w:r w:rsidDel="00000000" w:rsidR="00000000" w:rsidRPr="00000000">
        <w:rPr>
          <w:rFonts w:ascii="Arial" w:cs="Arial" w:eastAsia="Arial" w:hAnsi="Arial"/>
          <w:b w:val="1"/>
          <w:color w:val="000000"/>
          <w:rtl w:val="0"/>
        </w:rPr>
        <w:t xml:space="preserve">Cons</w:t>
      </w:r>
    </w:p>
    <w:p w:rsidR="00000000" w:rsidDel="00000000" w:rsidP="00000000" w:rsidRDefault="00000000" w:rsidRPr="00000000" w14:paraId="0000005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88" w:lineRule="auto"/>
        <w:ind w:left="1440" w:right="0" w:hanging="360"/>
        <w:jc w:val="both"/>
        <w:rPr>
          <w:u w:val="none"/>
        </w:rPr>
      </w:pPr>
      <w:r w:rsidDel="00000000" w:rsidR="00000000" w:rsidRPr="00000000">
        <w:rPr>
          <w:rtl w:val="0"/>
        </w:rPr>
        <w:t xml:space="preserve">The</w:t>
      </w:r>
      <w:r w:rsidDel="00000000" w:rsidR="00000000" w:rsidRPr="00000000">
        <w:rPr>
          <w:rFonts w:ascii="Arial" w:cs="Arial" w:eastAsia="Arial" w:hAnsi="Arial"/>
          <w:color w:val="000000"/>
          <w:rtl w:val="0"/>
        </w:rPr>
        <w:t xml:space="preserve"> lower refractive index means that all coatings will be thicker and will require longer deposition times, increasing the risk that something could go wrong during a coating run.</w:t>
      </w:r>
    </w:p>
    <w:p w:rsidR="00000000" w:rsidDel="00000000" w:rsidP="00000000" w:rsidRDefault="00000000" w:rsidRPr="00000000" w14:paraId="0000005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88" w:lineRule="auto"/>
        <w:ind w:left="1440" w:right="0" w:hanging="360"/>
        <w:jc w:val="both"/>
        <w:rPr>
          <w:u w:val="none"/>
        </w:rPr>
      </w:pPr>
      <w:r w:rsidDel="00000000" w:rsidR="00000000" w:rsidRPr="00000000">
        <w:rPr>
          <w:rtl w:val="0"/>
        </w:rPr>
        <w:t xml:space="preserve">The</w:t>
      </w:r>
      <w:r w:rsidDel="00000000" w:rsidR="00000000" w:rsidRPr="00000000">
        <w:rPr>
          <w:rFonts w:ascii="Arial" w:cs="Arial" w:eastAsia="Arial" w:hAnsi="Arial"/>
          <w:color w:val="000000"/>
          <w:rtl w:val="0"/>
        </w:rPr>
        <w:t xml:space="preserve"> issue of blistering in high reflection stacks when annealing is still unsolved.</w:t>
      </w:r>
    </w:p>
    <w:p w:rsidR="00000000" w:rsidDel="00000000" w:rsidP="00000000" w:rsidRDefault="00000000" w:rsidRPr="00000000" w14:paraId="0000005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88" w:lineRule="auto"/>
        <w:ind w:left="1440" w:right="0" w:hanging="360"/>
        <w:jc w:val="both"/>
        <w:rPr>
          <w:u w:val="none"/>
        </w:rPr>
      </w:pPr>
      <w:r w:rsidDel="00000000" w:rsidR="00000000" w:rsidRPr="00000000">
        <w:rPr>
          <w:rtl w:val="0"/>
        </w:rPr>
        <w:t xml:space="preserve">The</w:t>
      </w:r>
      <w:r w:rsidDel="00000000" w:rsidR="00000000" w:rsidRPr="00000000">
        <w:rPr>
          <w:rFonts w:ascii="Arial" w:cs="Arial" w:eastAsia="Arial" w:hAnsi="Arial"/>
          <w:color w:val="000000"/>
          <w:rtl w:val="0"/>
        </w:rPr>
        <w:t xml:space="preserve"> thermal noise prediction (factor of 2 reduction) has not been demonstrated yet in a HR mirror.</w:t>
      </w:r>
    </w:p>
    <w:p w:rsidR="00000000" w:rsidDel="00000000" w:rsidP="00000000" w:rsidRDefault="00000000" w:rsidRPr="00000000" w14:paraId="0000005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afterAutospacing="0" w:before="0" w:beforeAutospacing="0" w:line="288" w:lineRule="auto"/>
        <w:ind w:left="1440" w:right="0" w:hanging="360"/>
        <w:jc w:val="both"/>
        <w:rPr>
          <w:u w:val="none"/>
        </w:rPr>
      </w:pPr>
      <w:r w:rsidDel="00000000" w:rsidR="00000000" w:rsidRPr="00000000">
        <w:rPr>
          <w:rtl w:val="0"/>
        </w:rPr>
        <w:t xml:space="preserve">Absorption</w:t>
      </w:r>
      <w:r w:rsidDel="00000000" w:rsidR="00000000" w:rsidRPr="00000000">
        <w:rPr>
          <w:rFonts w:ascii="Arial" w:cs="Arial" w:eastAsia="Arial" w:hAnsi="Arial"/>
          <w:color w:val="000000"/>
          <w:rtl w:val="0"/>
        </w:rPr>
        <w:t xml:space="preserve"> at the 0.5 ppm level has not yet been verified.</w:t>
      </w:r>
      <w:r w:rsidDel="00000000" w:rsidR="00000000" w:rsidRPr="00000000">
        <w:rPr>
          <w:rtl w:val="0"/>
        </w:rPr>
      </w:r>
    </w:p>
    <w:p w:rsidR="00000000" w:rsidDel="00000000" w:rsidP="00000000" w:rsidRDefault="00000000" w:rsidRPr="00000000" w14:paraId="0000006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20" w:before="0" w:beforeAutospacing="0" w:line="288" w:lineRule="auto"/>
        <w:ind w:left="1440" w:right="0" w:hanging="360"/>
        <w:jc w:val="both"/>
        <w:rPr>
          <w:u w:val="none"/>
        </w:rPr>
      </w:pPr>
      <w:r w:rsidDel="00000000" w:rsidR="00000000" w:rsidRPr="00000000">
        <w:rPr>
          <w:rtl w:val="0"/>
        </w:rPr>
        <w:t xml:space="preserve">The</w:t>
      </w:r>
      <w:r w:rsidDel="00000000" w:rsidR="00000000" w:rsidRPr="00000000">
        <w:rPr>
          <w:rFonts w:ascii="Arial" w:cs="Arial" w:eastAsia="Arial" w:hAnsi="Arial"/>
          <w:color w:val="000000"/>
          <w:rtl w:val="0"/>
        </w:rPr>
        <w:t xml:space="preserve"> coatings need to be annealed at higher than usual temperature (though not approaching any annealing limitations, so this is a minor point).</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60" w:line="288" w:lineRule="auto"/>
        <w:ind w:left="720" w:right="0" w:firstLine="0"/>
        <w:jc w:val="left"/>
        <w:rPr/>
      </w:pPr>
      <w:r w:rsidDel="00000000" w:rsidR="00000000" w:rsidRPr="00000000">
        <w:rPr>
          <w:rtl w:val="0"/>
        </w:rPr>
      </w:r>
    </w:p>
    <w:p w:rsidR="00000000" w:rsidDel="00000000" w:rsidP="00000000" w:rsidRDefault="00000000" w:rsidRPr="00000000" w14:paraId="00000062">
      <w:pPr>
        <w:pStyle w:val="Heading1"/>
        <w:numPr>
          <w:ilvl w:val="0"/>
          <w:numId w:val="7"/>
        </w:numPr>
        <w:ind w:left="1080" w:hanging="360"/>
        <w:rPr>
          <w:rFonts w:ascii="Arial" w:cs="Arial" w:eastAsia="Arial" w:hAnsi="Arial"/>
          <w:b w:val="1"/>
          <w:color w:val="000000"/>
        </w:rPr>
      </w:pPr>
      <w:r w:rsidDel="00000000" w:rsidR="00000000" w:rsidRPr="00000000">
        <w:rPr>
          <w:rFonts w:ascii="Arial" w:cs="Arial" w:eastAsia="Arial" w:hAnsi="Arial"/>
          <w:b w:val="1"/>
          <w:color w:val="000000"/>
          <w:rtl w:val="0"/>
        </w:rPr>
        <w:t xml:space="preserve">Conclusions and summary</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88" w:lineRule="auto"/>
        <w:ind w:left="0" w:right="0" w:firstLine="0"/>
        <w:jc w:val="both"/>
        <w:rPr>
          <w:rFonts w:ascii="Arial" w:cs="Arial" w:eastAsia="Arial" w:hAnsi="Arial"/>
          <w:color w:val="000000"/>
        </w:rPr>
      </w:pPr>
      <w:r w:rsidDel="00000000" w:rsidR="00000000" w:rsidRPr="00000000">
        <w:rPr>
          <w:rtl w:val="0"/>
        </w:rPr>
        <w:t xml:space="preserve">We</w:t>
      </w:r>
      <w:r w:rsidDel="00000000" w:rsidR="00000000" w:rsidRPr="00000000">
        <w:rPr>
          <w:rFonts w:ascii="Arial" w:cs="Arial" w:eastAsia="Arial" w:hAnsi="Arial"/>
          <w:color w:val="000000"/>
          <w:rtl w:val="0"/>
        </w:rPr>
        <w:t xml:space="preserve"> note that, to date, research on both coatings considered in detail here has yielded interesting results with both candidates considered, showing promise as full-scale coatings.</w:t>
      </w:r>
      <w:r w:rsidDel="00000000" w:rsidR="00000000" w:rsidRPr="00000000">
        <w:rPr>
          <w:rFonts w:ascii="Arial" w:cs="Arial" w:eastAsia="Arial" w:hAnsi="Arial"/>
          <w:color w:val="000000"/>
          <w:sz w:val="24"/>
          <w:szCs w:val="24"/>
          <w:rtl w:val="0"/>
        </w:rPr>
        <w:t xml:space="preserve"> </w:t>
      </w:r>
      <w:r w:rsidDel="00000000" w:rsidR="00000000" w:rsidRPr="00000000">
        <w:rPr>
          <w:rFonts w:ascii="Arial" w:cs="Arial" w:eastAsia="Arial" w:hAnsi="Arial"/>
          <w:color w:val="000000"/>
          <w:rtl w:val="0"/>
        </w:rPr>
        <w:t xml:space="preserve">However, neither of the coating candidates are yet at a stage where all performance targets have been met, or where all risk has been removed. Evaluation of the findings leads to an option to ramp up R&amp;D on one coating to accelerate progress.</w:t>
      </w:r>
    </w:p>
    <w:p w:rsidR="00000000" w:rsidDel="00000000" w:rsidP="00000000" w:rsidRDefault="00000000" w:rsidRPr="00000000" w14:paraId="00000064">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88" w:lineRule="auto"/>
        <w:ind w:left="0" w:right="0" w:firstLine="0"/>
        <w:jc w:val="both"/>
        <w:rPr/>
      </w:pPr>
      <w:r w:rsidDel="00000000" w:rsidR="00000000" w:rsidRPr="00000000">
        <w:rPr>
          <w:rtl w:val="0"/>
        </w:rPr>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88" w:lineRule="auto"/>
        <w:ind w:left="0" w:right="0" w:firstLine="0"/>
        <w:jc w:val="both"/>
        <w:rPr>
          <w:rFonts w:ascii="Times New Roman" w:cs="Times New Roman" w:eastAsia="Times New Roman" w:hAnsi="Times New Roman"/>
          <w:b w:val="1"/>
          <w:color w:val="000000"/>
          <w:sz w:val="24"/>
          <w:szCs w:val="24"/>
        </w:rPr>
      </w:pPr>
      <w:r w:rsidDel="00000000" w:rsidR="00000000" w:rsidRPr="00000000">
        <w:rPr>
          <w:rFonts w:ascii="Arial" w:cs="Arial" w:eastAsia="Arial" w:hAnsi="Arial"/>
          <w:b w:val="1"/>
          <w:color w:val="000000"/>
          <w:rtl w:val="0"/>
        </w:rPr>
        <w:t xml:space="preserve">SiN:</w:t>
      </w: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88" w:lineRule="auto"/>
        <w:ind w:left="0" w:right="0" w:firstLine="0"/>
        <w:jc w:val="both"/>
        <w:rPr>
          <w:rFonts w:ascii="Arial" w:cs="Arial" w:eastAsia="Arial" w:hAnsi="Arial"/>
          <w:color w:val="000000"/>
        </w:rPr>
      </w:pPr>
      <w:r w:rsidDel="00000000" w:rsidR="00000000" w:rsidRPr="00000000">
        <w:rPr>
          <w:rtl w:val="0"/>
        </w:rPr>
        <w:t xml:space="preserve">We</w:t>
      </w:r>
      <w:r w:rsidDel="00000000" w:rsidR="00000000" w:rsidRPr="00000000">
        <w:rPr>
          <w:rFonts w:ascii="Arial" w:cs="Arial" w:eastAsia="Arial" w:hAnsi="Arial"/>
          <w:color w:val="000000"/>
          <w:rtl w:val="0"/>
        </w:rPr>
        <w:t xml:space="preserve"> consider at this point that it is harder to implement the needed developments in a short timescale in the large coater (with use of this coater required for full-scale development). This would require hardware modification to the coating system and new process software - each of which would take time and resource (in the form of both person-power and cost). The development path for SiN is likely to be longer than for Ti:Ge. Moreover, in thi</w:t>
      </w:r>
      <w:r w:rsidDel="00000000" w:rsidR="00000000" w:rsidRPr="00000000">
        <w:rPr>
          <w:rtl w:val="0"/>
        </w:rPr>
        <w:t xml:space="preserve">s case,</w:t>
      </w:r>
      <w:r w:rsidDel="00000000" w:rsidR="00000000" w:rsidRPr="00000000">
        <w:rPr>
          <w:rFonts w:ascii="Arial" w:cs="Arial" w:eastAsia="Arial" w:hAnsi="Arial"/>
          <w:color w:val="000000"/>
          <w:rtl w:val="0"/>
        </w:rPr>
        <w:t xml:space="preserve"> optical absorption is about </w:t>
      </w:r>
      <w:r w:rsidDel="00000000" w:rsidR="00000000" w:rsidRPr="00000000">
        <w:rPr>
          <w:rtl w:val="0"/>
        </w:rPr>
        <w:t xml:space="preserve">two orders of magnitude higher than required and this appears difficult to improve sufficiently in time to be ready for O5.</w:t>
      </w:r>
      <w:r w:rsidDel="00000000" w:rsidR="00000000" w:rsidRPr="00000000">
        <w:rPr>
          <w:rtl w:val="0"/>
        </w:rPr>
      </w:r>
    </w:p>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88" w:lineRule="auto"/>
        <w:ind w:left="0" w:right="0" w:firstLine="0"/>
        <w:jc w:val="both"/>
        <w:rPr/>
      </w:pPr>
      <w:r w:rsidDel="00000000" w:rsidR="00000000" w:rsidRPr="00000000">
        <w:rPr>
          <w:rtl w:val="0"/>
        </w:rPr>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88" w:lineRule="auto"/>
        <w:ind w:left="0" w:right="0" w:firstLine="0"/>
        <w:jc w:val="both"/>
        <w:rPr>
          <w:rFonts w:ascii="Times New Roman" w:cs="Times New Roman" w:eastAsia="Times New Roman" w:hAnsi="Times New Roman"/>
          <w:b w:val="1"/>
          <w:color w:val="000000"/>
          <w:sz w:val="24"/>
          <w:szCs w:val="24"/>
        </w:rPr>
      </w:pPr>
      <w:r w:rsidDel="00000000" w:rsidR="00000000" w:rsidRPr="00000000">
        <w:rPr>
          <w:rFonts w:ascii="Arial" w:cs="Arial" w:eastAsia="Arial" w:hAnsi="Arial"/>
          <w:b w:val="1"/>
          <w:color w:val="000000"/>
          <w:rtl w:val="0"/>
        </w:rPr>
        <w:t xml:space="preserve">Ti:Ge:</w:t>
      </w:r>
      <w:r w:rsidDel="00000000" w:rsidR="00000000" w:rsidRPr="00000000">
        <w:rPr>
          <w:rtl w:val="0"/>
        </w:rPr>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88" w:lineRule="auto"/>
        <w:ind w:left="0" w:right="0" w:firstLine="0"/>
        <w:jc w:val="both"/>
        <w:rPr>
          <w:rFonts w:ascii="Arial" w:cs="Arial" w:eastAsia="Arial" w:hAnsi="Arial"/>
          <w:color w:val="000000"/>
        </w:rPr>
      </w:pPr>
      <w:r w:rsidDel="00000000" w:rsidR="00000000" w:rsidRPr="00000000">
        <w:rPr>
          <w:rtl w:val="0"/>
        </w:rPr>
        <w:t xml:space="preserve">We</w:t>
      </w:r>
      <w:r w:rsidDel="00000000" w:rsidR="00000000" w:rsidRPr="00000000">
        <w:rPr>
          <w:rFonts w:ascii="Arial" w:cs="Arial" w:eastAsia="Arial" w:hAnsi="Arial"/>
          <w:color w:val="000000"/>
          <w:rtl w:val="0"/>
        </w:rPr>
        <w:t xml:space="preserve"> consider the development status to be slightly more advanced than SiN, and that the technical steps required to proceed with accelerating pathfinder R&amp;D are simpler for Ti:Ge.</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88" w:lineRule="auto"/>
        <w:ind w:left="0" w:right="0" w:firstLine="0"/>
        <w:jc w:val="both"/>
        <w:rPr>
          <w:rFonts w:ascii="Arial" w:cs="Arial" w:eastAsia="Arial" w:hAnsi="Arial"/>
          <w:color w:val="000000"/>
        </w:rPr>
      </w:pPr>
      <w:r w:rsidDel="00000000" w:rsidR="00000000" w:rsidRPr="00000000">
        <w:rPr>
          <w:rtl w:val="0"/>
        </w:rPr>
        <w:t xml:space="preserve">In</w:t>
      </w:r>
      <w:r w:rsidDel="00000000" w:rsidR="00000000" w:rsidRPr="00000000">
        <w:rPr>
          <w:rFonts w:ascii="Arial" w:cs="Arial" w:eastAsia="Arial" w:hAnsi="Arial"/>
          <w:color w:val="000000"/>
          <w:rtl w:val="0"/>
        </w:rPr>
        <w:t xml:space="preserve"> particular we note the only significant coating chamber modification needed to enable development of Ti:Ge-based coatings is a change of target. Preliminary tests for optimum deposition conditions could be done in a relatively short time. Further tests are needed regarding understanding of the source of the bubbles noted in current developmental coatings and of techniques for their prevention. </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88" w:lineRule="auto"/>
        <w:ind w:left="0" w:right="0" w:firstLine="0"/>
        <w:jc w:val="both"/>
        <w:rPr>
          <w:rFonts w:ascii="Arial" w:cs="Arial" w:eastAsia="Arial" w:hAnsi="Arial"/>
          <w:color w:val="000000"/>
        </w:rPr>
      </w:pPr>
      <w:r w:rsidDel="00000000" w:rsidR="00000000" w:rsidRPr="00000000">
        <w:rPr>
          <w:rtl w:val="0"/>
        </w:rPr>
        <w:t xml:space="preserve">Further</w:t>
      </w:r>
      <w:r w:rsidDel="00000000" w:rsidR="00000000" w:rsidRPr="00000000">
        <w:rPr>
          <w:rFonts w:ascii="Arial" w:cs="Arial" w:eastAsia="Arial" w:hAnsi="Arial"/>
          <w:color w:val="000000"/>
          <w:rtl w:val="0"/>
        </w:rPr>
        <w:t xml:space="preserve">, we note the pathfinder development process should benefit from a joint approach combining the expertise of the Collaborations in a focused development program to reach a common solution.</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88" w:lineRule="auto"/>
        <w:ind w:left="0" w:right="0" w:firstLine="0"/>
        <w:jc w:val="both"/>
        <w:rPr>
          <w:rFonts w:ascii="Arial" w:cs="Arial" w:eastAsia="Arial" w:hAnsi="Arial"/>
          <w:color w:val="000000"/>
        </w:rPr>
      </w:pPr>
      <w:r w:rsidDel="00000000" w:rsidR="00000000" w:rsidRPr="00000000">
        <w:rPr>
          <w:rtl w:val="0"/>
        </w:rPr>
        <w:t xml:space="preserve">We</w:t>
      </w:r>
      <w:r w:rsidDel="00000000" w:rsidR="00000000" w:rsidRPr="00000000">
        <w:rPr>
          <w:rFonts w:ascii="Arial" w:cs="Arial" w:eastAsia="Arial" w:hAnsi="Arial"/>
          <w:color w:val="000000"/>
          <w:rtl w:val="0"/>
        </w:rPr>
        <w:t xml:space="preserve"> additionally note that continued pursuit of these and other coating designs (including those not considered in detail here) is envisaged as appropriate ongoing risk reduction and planning for observational runs beyond O5/future detectors.</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60" w:before="60" w:line="288" w:lineRule="auto"/>
        <w:ind w:left="0" w:right="0" w:firstLine="0"/>
        <w:jc w:val="both"/>
        <w:rPr/>
      </w:pPr>
      <w:r w:rsidDel="00000000" w:rsidR="00000000" w:rsidRPr="00000000">
        <w:rPr>
          <w:rtl w:val="0"/>
        </w:rPr>
      </w:r>
    </w:p>
    <w:p w:rsidR="00000000" w:rsidDel="00000000" w:rsidP="00000000" w:rsidRDefault="00000000" w:rsidRPr="00000000" w14:paraId="0000006E">
      <w:pPr>
        <w:pStyle w:val="Heading1"/>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60" w:before="60" w:line="288" w:lineRule="auto"/>
        <w:ind w:left="1080" w:right="0" w:hanging="360"/>
        <w:jc w:val="left"/>
      </w:pPr>
      <w:r w:rsidDel="00000000" w:rsidR="00000000" w:rsidRPr="00000000">
        <w:rPr>
          <w:rtl w:val="0"/>
        </w:rPr>
        <w:t xml:space="preserve">evaluation</w:t>
      </w:r>
      <w:r w:rsidDel="00000000" w:rsidR="00000000" w:rsidRPr="00000000">
        <w:rPr>
          <w:rFonts w:ascii="Arial" w:cs="Arial" w:eastAsia="Arial" w:hAnsi="Arial"/>
          <w:b w:val="1"/>
          <w:color w:val="000000"/>
          <w:rtl w:val="0"/>
        </w:rPr>
        <w:t xml:space="preserve"> pane</w:t>
      </w:r>
      <w:r w:rsidDel="00000000" w:rsidR="00000000" w:rsidRPr="00000000">
        <w:rPr>
          <w:rtl w:val="0"/>
        </w:rPr>
        <w:t xml:space="preserve">l</w:t>
      </w:r>
      <w:r w:rsidDel="00000000" w:rsidR="00000000" w:rsidRPr="00000000">
        <w:rPr>
          <w:rtl w:val="0"/>
        </w:rPr>
      </w:r>
    </w:p>
    <w:p w:rsidR="00000000" w:rsidDel="00000000" w:rsidP="00000000" w:rsidRDefault="00000000" w:rsidRPr="00000000" w14:paraId="0000006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Sheila Rowan, co-chair</w:t>
      </w:r>
    </w:p>
    <w:p w:rsidR="00000000" w:rsidDel="00000000" w:rsidP="00000000" w:rsidRDefault="00000000" w:rsidRPr="00000000" w14:paraId="0000007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Helios Vocca, co-chair</w:t>
      </w:r>
    </w:p>
    <w:p w:rsidR="00000000" w:rsidDel="00000000" w:rsidP="00000000" w:rsidRDefault="00000000" w:rsidRPr="00000000" w14:paraId="0000007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Peter Fritschel</w:t>
      </w:r>
    </w:p>
    <w:p w:rsidR="00000000" w:rsidDel="00000000" w:rsidP="00000000" w:rsidRDefault="00000000" w:rsidRPr="00000000" w14:paraId="0000007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Laurent Pinard</w:t>
      </w:r>
    </w:p>
    <w:p w:rsidR="00000000" w:rsidDel="00000000" w:rsidP="00000000" w:rsidRDefault="00000000" w:rsidRPr="00000000" w14:paraId="0000007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Raffaele Flaminio, AdV+ (ex-officio)</w:t>
      </w:r>
    </w:p>
    <w:p w:rsidR="00000000" w:rsidDel="00000000" w:rsidP="00000000" w:rsidRDefault="00000000" w:rsidRPr="00000000" w14:paraId="0000007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GariLynn Billingsley, A+ (ex-officio)</w:t>
      </w:r>
    </w:p>
    <w:p w:rsidR="00000000" w:rsidDel="00000000" w:rsidP="00000000" w:rsidRDefault="00000000" w:rsidRPr="00000000" w14:paraId="00000075">
      <w:pPr>
        <w:ind w:firstLine="360"/>
        <w:rPr>
          <w:rFonts w:ascii="Arial" w:cs="Arial" w:eastAsia="Arial" w:hAnsi="Arial"/>
        </w:rPr>
      </w:pPr>
      <w:r w:rsidDel="00000000" w:rsidR="00000000" w:rsidRPr="00000000">
        <w:rPr>
          <w:rtl w:val="0"/>
        </w:rPr>
      </w:r>
    </w:p>
    <w:p w:rsidR="00000000" w:rsidDel="00000000" w:rsidP="00000000" w:rsidRDefault="00000000" w:rsidRPr="00000000" w14:paraId="00000076">
      <w:pPr>
        <w:ind w:firstLine="360"/>
        <w:rPr>
          <w:rFonts w:ascii="Arial" w:cs="Arial" w:eastAsia="Arial" w:hAnsi="Arial"/>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sectPr>
      <w:headerReference r:id="rId12" w:type="first"/>
      <w:footerReference r:id="rId13" w:type="default"/>
      <w:footerReference r:id="rId14" w:type="first"/>
      <w:pgSz w:h="16839" w:w="11907" w:orient="portrait"/>
      <w:pgMar w:bottom="1134" w:top="1134" w:left="1134" w:right="1134"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 w:name="Courier New"/>
  <w:font w:name="Symbol"/>
  <w:font w:name="Noto Sans Symbols"/>
  <w:font w:name="Cambria Math">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Fonts w:ascii="Calibri" w:cs="Calibri" w:eastAsia="Calibri" w:hAnsi="Calibri"/>
        <w:b w:val="0"/>
        <w:i w:val="0"/>
        <w:smallCaps w:val="0"/>
        <w:strike w:val="0"/>
        <w:color w:val="4472c4"/>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A">
    <w:pPr>
      <w:spacing w:after="0" w:before="0" w:line="276" w:lineRule="auto"/>
      <w:ind w:left="0" w:firstLine="0"/>
      <w:jc w:val="cente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9">
    <w:pPr>
      <w:spacing w:after="0" w:before="0" w:line="276" w:lineRule="auto"/>
      <w:ind w:left="0" w:firstLine="0"/>
      <w:jc w:val="right"/>
      <w:rPr/>
    </w:pPr>
    <w:hyperlink r:id="rId1">
      <w:r w:rsidDel="00000000" w:rsidR="00000000" w:rsidRPr="00000000">
        <w:rPr>
          <w:color w:val="1155cc"/>
          <w:u w:val="single"/>
          <w:rtl w:val="0"/>
        </w:rPr>
        <w:t xml:space="preserve">LIGO-M2100169</w:t>
      </w:r>
    </w:hyperlink>
    <w:r w:rsidDel="00000000" w:rsidR="00000000" w:rsidRPr="00000000">
      <w:rPr>
        <w:rtl w:val="0"/>
      </w:rPr>
      <w:t xml:space="preserve">-v2</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decimal"/>
      <w:lvlText w:val="%1."/>
      <w:lvlJc w:val="right"/>
      <w:pPr>
        <w:ind w:left="1080" w:hanging="360"/>
      </w:pPr>
      <w:rPr/>
    </w:lvl>
    <w:lvl w:ilvl="1">
      <w:start w:val="1"/>
      <w:numFmt w:val="decimal"/>
      <w:lvlText w:val="%1.%2."/>
      <w:lvlJc w:val="right"/>
      <w:pPr>
        <w:ind w:left="1440" w:hanging="360"/>
      </w:pPr>
      <w:rPr/>
    </w:lvl>
    <w:lvl w:ilvl="2">
      <w:start w:val="1"/>
      <w:numFmt w:val="decimal"/>
      <w:lvlText w:val="%1.%2.%3."/>
      <w:lvlJc w:val="right"/>
      <w:pPr>
        <w:ind w:left="1800" w:hanging="360"/>
      </w:pPr>
      <w:rPr/>
    </w:lvl>
    <w:lvl w:ilvl="3">
      <w:start w:val="1"/>
      <w:numFmt w:val="decimal"/>
      <w:lvlText w:val="%1.%2.%3.%4."/>
      <w:lvlJc w:val="right"/>
      <w:pPr>
        <w:ind w:left="2160" w:hanging="360"/>
      </w:pPr>
      <w:rPr/>
    </w:lvl>
    <w:lvl w:ilvl="4">
      <w:start w:val="1"/>
      <w:numFmt w:val="decimal"/>
      <w:lvlText w:val="%1.%2.%3.%4.%5."/>
      <w:lvlJc w:val="right"/>
      <w:pPr>
        <w:ind w:left="2520" w:hanging="360"/>
      </w:pPr>
      <w:rPr/>
    </w:lvl>
    <w:lvl w:ilvl="5">
      <w:start w:val="1"/>
      <w:numFmt w:val="decimal"/>
      <w:lvlText w:val="%1.%2.%3.%4.%5.%6."/>
      <w:lvlJc w:val="right"/>
      <w:pPr>
        <w:ind w:left="2880" w:hanging="360"/>
      </w:pPr>
      <w:rPr/>
    </w:lvl>
    <w:lvl w:ilvl="6">
      <w:start w:val="1"/>
      <w:numFmt w:val="decimal"/>
      <w:lvlText w:val="%1.%2.%3.%4.%5.%6.%7."/>
      <w:lvlJc w:val="right"/>
      <w:pPr>
        <w:ind w:left="3240" w:hanging="360"/>
      </w:pPr>
      <w:rPr/>
    </w:lvl>
    <w:lvl w:ilvl="7">
      <w:start w:val="1"/>
      <w:numFmt w:val="decimal"/>
      <w:lvlText w:val="%1.%2.%3.%4.%5.%6.%7.%8."/>
      <w:lvlJc w:val="right"/>
      <w:pPr>
        <w:ind w:left="3600" w:hanging="360"/>
      </w:pPr>
      <w:rPr/>
    </w:lvl>
    <w:lvl w:ilvl="8">
      <w:start w:val="1"/>
      <w:numFmt w:val="decimal"/>
      <w:lvlText w:val="%1.%2.%3.%4.%5.%6.%7.%8.%9."/>
      <w:lvlJc w:val="right"/>
      <w:pPr>
        <w:ind w:left="3960" w:hanging="36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after="120" w:before="60" w:line="288" w:lineRule="auto"/>
        <w:ind w:left="720"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60" w:before="60" w:lineRule="auto"/>
      <w:ind w:left="1440" w:hanging="360"/>
    </w:pPr>
    <w:rPr>
      <w:rFonts w:ascii="Arial" w:cs="Arial" w:eastAsia="Arial" w:hAnsi="Arial"/>
      <w:b w:val="1"/>
      <w:smallCaps w:val="1"/>
      <w:color w:val="000000"/>
      <w:sz w:val="26"/>
      <w:szCs w:val="26"/>
    </w:rPr>
  </w:style>
  <w:style w:type="paragraph" w:styleId="Heading2">
    <w:name w:val="heading 2"/>
    <w:basedOn w:val="Normal"/>
    <w:next w:val="Normal"/>
    <w:pPr>
      <w:ind w:firstLine="360"/>
    </w:pPr>
    <w:rPr>
      <w:b w:val="1"/>
    </w:rPr>
  </w:style>
  <w:style w:type="paragraph" w:styleId="Heading3">
    <w:name w:val="heading 3"/>
    <w:basedOn w:val="Normal"/>
    <w:next w:val="Normal"/>
    <w:pPr>
      <w:spacing w:after="0" w:before="40" w:lineRule="auto"/>
      <w:ind w:left="1080" w:hanging="360"/>
    </w:pPr>
    <w:rPr>
      <w:rFonts w:ascii="Calibri" w:cs="Calibri" w:eastAsia="Calibri" w:hAnsi="Calibri"/>
    </w:rPr>
  </w:style>
  <w:style w:type="paragraph" w:styleId="Heading4">
    <w:name w:val="heading 4"/>
    <w:basedOn w:val="Normal"/>
    <w:next w:val="Normal"/>
    <w:pPr>
      <w:spacing w:after="0" w:before="40" w:lineRule="auto"/>
      <w:ind w:left="1440" w:hanging="360"/>
    </w:pPr>
    <w:rPr>
      <w:rFonts w:ascii="Calibri" w:cs="Calibri" w:eastAsia="Calibri" w:hAnsi="Calibri"/>
      <w:i w:val="1"/>
    </w:rPr>
  </w:style>
  <w:style w:type="paragraph" w:styleId="Heading5">
    <w:name w:val="heading 5"/>
    <w:basedOn w:val="Normal"/>
    <w:next w:val="Normal"/>
    <w:pPr>
      <w:spacing w:after="0" w:before="40" w:lineRule="auto"/>
      <w:ind w:left="1800" w:hanging="360"/>
    </w:pPr>
    <w:rPr>
      <w:rFonts w:ascii="Calibri" w:cs="Calibri" w:eastAsia="Calibri" w:hAnsi="Calibri"/>
      <w:i w:val="1"/>
      <w:color w:val="ed7d31"/>
    </w:rPr>
  </w:style>
  <w:style w:type="paragraph" w:styleId="Heading6">
    <w:name w:val="heading 6"/>
    <w:basedOn w:val="Normal"/>
    <w:next w:val="Normal"/>
    <w:pPr>
      <w:spacing w:after="0" w:before="40" w:lineRule="auto"/>
      <w:ind w:left="2160" w:hanging="360"/>
    </w:pPr>
    <w:rPr>
      <w:rFonts w:ascii="Calibri" w:cs="Calibri" w:eastAsia="Calibri" w:hAnsi="Calibri"/>
      <w:color w:val="ed7d31"/>
    </w:rPr>
  </w:style>
  <w:style w:type="paragraph" w:styleId="Title">
    <w:name w:val="Title"/>
    <w:basedOn w:val="Normal"/>
    <w:next w:val="Normal"/>
    <w:pPr>
      <w:spacing w:after="0" w:line="240" w:lineRule="auto"/>
    </w:pPr>
    <w:rPr>
      <w:rFonts w:ascii="Calibri" w:cs="Calibri" w:eastAsia="Calibri" w:hAnsi="Calibri"/>
      <w:color w:val="000000"/>
      <w:sz w:val="56"/>
      <w:szCs w:val="56"/>
    </w:rPr>
  </w:style>
  <w:style w:type="paragraph" w:styleId="Normal" w:default="1">
    <w:name w:val="Normal"/>
    <w:qFormat w:val="1"/>
    <w:rsid w:val="000A4EA3"/>
    <w:pPr>
      <w:spacing w:after="120" w:line="288" w:lineRule="auto"/>
      <w:ind w:left="360"/>
    </w:pPr>
    <w:rPr>
      <w:color w:val="4472c4" w:themeColor="accent1"/>
      <w:lang w:bidi="it-IT" w:eastAsia="ja-JP" w:val="it-IT"/>
    </w:rPr>
  </w:style>
  <w:style w:type="paragraph" w:styleId="Heading1">
    <w:name w:val="heading 1"/>
    <w:basedOn w:val="Normal"/>
    <w:link w:val="Heading1Char"/>
    <w:uiPriority w:val="9"/>
    <w:qFormat w:val="1"/>
    <w:rsid w:val="000A4EA3"/>
    <w:pPr>
      <w:numPr>
        <w:numId w:val="1"/>
      </w:numPr>
      <w:spacing w:after="60" w:before="600"/>
      <w:outlineLvl w:val="0"/>
    </w:pPr>
    <w:rPr>
      <w:rFonts w:asciiTheme="majorHAnsi" w:hAnsiTheme="majorHAnsi"/>
      <w:caps w:val="1"/>
      <w:color w:val="ed7d31" w:themeColor="accent2"/>
      <w:spacing w:val="14"/>
      <w:sz w:val="26"/>
      <w:szCs w:val="26"/>
    </w:rPr>
  </w:style>
  <w:style w:type="paragraph" w:styleId="Heading2">
    <w:name w:val="heading 2"/>
    <w:basedOn w:val="Normal"/>
    <w:link w:val="Heading2Char"/>
    <w:uiPriority w:val="9"/>
    <w:unhideWhenUsed w:val="1"/>
    <w:qFormat w:val="1"/>
    <w:rsid w:val="000A4EA3"/>
    <w:pPr>
      <w:numPr>
        <w:ilvl w:val="1"/>
        <w:numId w:val="1"/>
      </w:numPr>
      <w:spacing w:before="40"/>
      <w:outlineLvl w:val="1"/>
    </w:pPr>
    <w:rPr>
      <w:rFonts w:asciiTheme="majorHAnsi" w:cstheme="majorBidi" w:eastAsiaTheme="majorEastAsia" w:hAnsiTheme="majorHAnsi"/>
      <w:color w:val="ed7d31" w:themeColor="accent2"/>
      <w:szCs w:val="26"/>
    </w:rPr>
  </w:style>
  <w:style w:type="paragraph" w:styleId="Heading3">
    <w:name w:val="heading 3"/>
    <w:basedOn w:val="Normal"/>
    <w:link w:val="Heading3Char"/>
    <w:unhideWhenUsed w:val="1"/>
    <w:qFormat w:val="1"/>
    <w:rsid w:val="000A4EA3"/>
    <w:pPr>
      <w:numPr>
        <w:ilvl w:val="2"/>
        <w:numId w:val="1"/>
      </w:numPr>
      <w:spacing w:after="0" w:before="40"/>
      <w:outlineLvl w:val="2"/>
    </w:pPr>
    <w:rPr>
      <w:rFonts w:asciiTheme="majorHAnsi" w:cstheme="majorBidi" w:eastAsiaTheme="majorEastAsia" w:hAnsiTheme="majorHAnsi"/>
      <w:szCs w:val="24"/>
    </w:rPr>
  </w:style>
  <w:style w:type="paragraph" w:styleId="Heading4">
    <w:name w:val="heading 4"/>
    <w:basedOn w:val="Normal"/>
    <w:link w:val="Heading4Char"/>
    <w:unhideWhenUsed w:val="1"/>
    <w:qFormat w:val="1"/>
    <w:rsid w:val="000A4EA3"/>
    <w:pPr>
      <w:numPr>
        <w:ilvl w:val="3"/>
        <w:numId w:val="1"/>
      </w:numPr>
      <w:spacing w:after="0" w:before="40"/>
      <w:outlineLvl w:val="3"/>
    </w:pPr>
    <w:rPr>
      <w:rFonts w:asciiTheme="majorHAnsi" w:cstheme="majorBidi" w:eastAsiaTheme="majorEastAsia" w:hAnsiTheme="majorHAnsi"/>
      <w:i w:val="1"/>
      <w:iCs w:val="1"/>
      <w:spacing w:val="6"/>
    </w:rPr>
  </w:style>
  <w:style w:type="paragraph" w:styleId="Heading5">
    <w:name w:val="heading 5"/>
    <w:basedOn w:val="Normal"/>
    <w:link w:val="Heading5Char"/>
    <w:unhideWhenUsed w:val="1"/>
    <w:qFormat w:val="1"/>
    <w:rsid w:val="000A4EA3"/>
    <w:pPr>
      <w:numPr>
        <w:ilvl w:val="4"/>
        <w:numId w:val="1"/>
      </w:numPr>
      <w:spacing w:after="0" w:before="40"/>
      <w:outlineLvl w:val="4"/>
    </w:pPr>
    <w:rPr>
      <w:rFonts w:asciiTheme="majorHAnsi" w:cstheme="majorBidi" w:eastAsiaTheme="majorEastAsia" w:hAnsiTheme="majorHAnsi"/>
      <w:i w:val="1"/>
      <w:color w:val="ed7d31" w:themeColor="accent2"/>
      <w:spacing w:val="6"/>
    </w:rPr>
  </w:style>
  <w:style w:type="paragraph" w:styleId="Heading6">
    <w:name w:val="heading 6"/>
    <w:basedOn w:val="Normal"/>
    <w:link w:val="Heading6Char"/>
    <w:unhideWhenUsed w:val="1"/>
    <w:qFormat w:val="1"/>
    <w:rsid w:val="000A4EA3"/>
    <w:pPr>
      <w:numPr>
        <w:ilvl w:val="5"/>
        <w:numId w:val="1"/>
      </w:numPr>
      <w:spacing w:after="0" w:before="40"/>
      <w:outlineLvl w:val="5"/>
    </w:pPr>
    <w:rPr>
      <w:rFonts w:asciiTheme="majorHAnsi" w:cstheme="majorBidi" w:eastAsiaTheme="majorEastAsia" w:hAnsiTheme="majorHAnsi"/>
      <w:color w:val="ed7d31" w:themeColor="accent2"/>
      <w:spacing w:val="12"/>
    </w:rPr>
  </w:style>
  <w:style w:type="paragraph" w:styleId="Heading7">
    <w:name w:val="heading 7"/>
    <w:basedOn w:val="Normal"/>
    <w:link w:val="Heading7Char"/>
    <w:unhideWhenUsed w:val="1"/>
    <w:qFormat w:val="1"/>
    <w:rsid w:val="000A4EA3"/>
    <w:pPr>
      <w:numPr>
        <w:ilvl w:val="6"/>
        <w:numId w:val="1"/>
      </w:numPr>
      <w:spacing w:after="0" w:before="40"/>
      <w:outlineLvl w:val="6"/>
    </w:pPr>
    <w:rPr>
      <w:rFonts w:asciiTheme="majorHAnsi" w:cstheme="majorBidi" w:eastAsiaTheme="majorEastAsia" w:hAnsiTheme="majorHAnsi"/>
      <w:iCs w:val="1"/>
      <w:color w:val="ed7d31" w:themeColor="accent2"/>
    </w:rPr>
  </w:style>
  <w:style w:type="paragraph" w:styleId="Heading8">
    <w:name w:val="heading 8"/>
    <w:basedOn w:val="Normal"/>
    <w:link w:val="Heading8Char"/>
    <w:unhideWhenUsed w:val="1"/>
    <w:qFormat w:val="1"/>
    <w:rsid w:val="000A4EA3"/>
    <w:pPr>
      <w:numPr>
        <w:ilvl w:val="7"/>
        <w:numId w:val="1"/>
      </w:numPr>
      <w:spacing w:after="0" w:before="40"/>
      <w:outlineLvl w:val="7"/>
    </w:pPr>
    <w:rPr>
      <w:rFonts w:asciiTheme="majorHAnsi" w:cstheme="majorBidi" w:eastAsiaTheme="majorEastAsia" w:hAnsiTheme="majorHAnsi"/>
      <w:i w:val="1"/>
      <w:color w:val="f19d64" w:themeColor="accent2" w:themeTint="0000BF"/>
      <w:szCs w:val="21"/>
    </w:rPr>
  </w:style>
  <w:style w:type="paragraph" w:styleId="Heading9">
    <w:name w:val="heading 9"/>
    <w:basedOn w:val="Normal"/>
    <w:link w:val="Heading9Char"/>
    <w:unhideWhenUsed w:val="1"/>
    <w:qFormat w:val="1"/>
    <w:rsid w:val="000A4EA3"/>
    <w:pPr>
      <w:numPr>
        <w:ilvl w:val="8"/>
        <w:numId w:val="1"/>
      </w:numPr>
      <w:spacing w:after="0" w:before="40"/>
      <w:outlineLvl w:val="8"/>
    </w:pPr>
    <w:rPr>
      <w:rFonts w:asciiTheme="majorHAnsi" w:cstheme="majorBidi" w:eastAsiaTheme="majorEastAsia" w:hAnsiTheme="majorHAnsi"/>
      <w:iCs w:val="1"/>
      <w:color w:val="f19d64" w:themeColor="accent2" w:themeTint="0000BF"/>
      <w:szCs w:val="2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0A4EA3"/>
    <w:rPr>
      <w:rFonts w:asciiTheme="majorHAnsi" w:hAnsiTheme="majorHAnsi"/>
      <w:caps w:val="1"/>
      <w:color w:val="ed7d31" w:themeColor="accent2"/>
      <w:spacing w:val="14"/>
      <w:sz w:val="26"/>
      <w:szCs w:val="26"/>
      <w:lang w:bidi="it-IT" w:eastAsia="ja-JP" w:val="it-IT"/>
    </w:rPr>
  </w:style>
  <w:style w:type="character" w:styleId="Heading2Char" w:customStyle="1">
    <w:name w:val="Heading 2 Char"/>
    <w:basedOn w:val="DefaultParagraphFont"/>
    <w:link w:val="Heading2"/>
    <w:uiPriority w:val="9"/>
    <w:rsid w:val="000A4EA3"/>
    <w:rPr>
      <w:rFonts w:asciiTheme="majorHAnsi" w:cstheme="majorBidi" w:eastAsiaTheme="majorEastAsia" w:hAnsiTheme="majorHAnsi"/>
      <w:color w:val="ed7d31" w:themeColor="accent2"/>
      <w:szCs w:val="26"/>
      <w:lang w:bidi="it-IT" w:eastAsia="ja-JP" w:val="it-IT"/>
    </w:rPr>
  </w:style>
  <w:style w:type="character" w:styleId="Heading3Char" w:customStyle="1">
    <w:name w:val="Heading 3 Char"/>
    <w:basedOn w:val="DefaultParagraphFont"/>
    <w:link w:val="Heading3"/>
    <w:uiPriority w:val="9"/>
    <w:rsid w:val="000A4EA3"/>
    <w:rPr>
      <w:rFonts w:asciiTheme="majorHAnsi" w:cstheme="majorBidi" w:eastAsiaTheme="majorEastAsia" w:hAnsiTheme="majorHAnsi"/>
      <w:color w:val="4472c4" w:themeColor="accent1"/>
      <w:szCs w:val="24"/>
      <w:lang w:bidi="it-IT" w:eastAsia="ja-JP" w:val="it-IT"/>
    </w:rPr>
  </w:style>
  <w:style w:type="character" w:styleId="Heading4Char" w:customStyle="1">
    <w:name w:val="Heading 4 Char"/>
    <w:basedOn w:val="DefaultParagraphFont"/>
    <w:link w:val="Heading4"/>
    <w:uiPriority w:val="9"/>
    <w:semiHidden w:val="1"/>
    <w:rsid w:val="000A4EA3"/>
    <w:rPr>
      <w:rFonts w:asciiTheme="majorHAnsi" w:cstheme="majorBidi" w:eastAsiaTheme="majorEastAsia" w:hAnsiTheme="majorHAnsi"/>
      <w:i w:val="1"/>
      <w:iCs w:val="1"/>
      <w:color w:val="4472c4" w:themeColor="accent1"/>
      <w:spacing w:val="6"/>
      <w:lang w:bidi="it-IT" w:eastAsia="ja-JP" w:val="it-IT"/>
    </w:rPr>
  </w:style>
  <w:style w:type="character" w:styleId="Heading5Char" w:customStyle="1">
    <w:name w:val="Heading 5 Char"/>
    <w:basedOn w:val="DefaultParagraphFont"/>
    <w:link w:val="Heading5"/>
    <w:uiPriority w:val="9"/>
    <w:semiHidden w:val="1"/>
    <w:rsid w:val="000A4EA3"/>
    <w:rPr>
      <w:rFonts w:asciiTheme="majorHAnsi" w:cstheme="majorBidi" w:eastAsiaTheme="majorEastAsia" w:hAnsiTheme="majorHAnsi"/>
      <w:i w:val="1"/>
      <w:color w:val="ed7d31" w:themeColor="accent2"/>
      <w:spacing w:val="6"/>
      <w:lang w:bidi="it-IT" w:eastAsia="ja-JP" w:val="it-IT"/>
    </w:rPr>
  </w:style>
  <w:style w:type="character" w:styleId="Heading6Char" w:customStyle="1">
    <w:name w:val="Heading 6 Char"/>
    <w:basedOn w:val="DefaultParagraphFont"/>
    <w:link w:val="Heading6"/>
    <w:uiPriority w:val="9"/>
    <w:semiHidden w:val="1"/>
    <w:rsid w:val="000A4EA3"/>
    <w:rPr>
      <w:rFonts w:asciiTheme="majorHAnsi" w:cstheme="majorBidi" w:eastAsiaTheme="majorEastAsia" w:hAnsiTheme="majorHAnsi"/>
      <w:color w:val="ed7d31" w:themeColor="accent2"/>
      <w:spacing w:val="12"/>
      <w:lang w:bidi="it-IT" w:eastAsia="ja-JP" w:val="it-IT"/>
    </w:rPr>
  </w:style>
  <w:style w:type="character" w:styleId="Heading7Char" w:customStyle="1">
    <w:name w:val="Heading 7 Char"/>
    <w:basedOn w:val="DefaultParagraphFont"/>
    <w:link w:val="Heading7"/>
    <w:uiPriority w:val="9"/>
    <w:semiHidden w:val="1"/>
    <w:rsid w:val="000A4EA3"/>
    <w:rPr>
      <w:rFonts w:asciiTheme="majorHAnsi" w:cstheme="majorBidi" w:eastAsiaTheme="majorEastAsia" w:hAnsiTheme="majorHAnsi"/>
      <w:iCs w:val="1"/>
      <w:color w:val="ed7d31" w:themeColor="accent2"/>
      <w:lang w:bidi="it-IT" w:eastAsia="ja-JP" w:val="it-IT"/>
    </w:rPr>
  </w:style>
  <w:style w:type="character" w:styleId="Heading8Char" w:customStyle="1">
    <w:name w:val="Heading 8 Char"/>
    <w:basedOn w:val="DefaultParagraphFont"/>
    <w:link w:val="Heading8"/>
    <w:uiPriority w:val="9"/>
    <w:semiHidden w:val="1"/>
    <w:rsid w:val="000A4EA3"/>
    <w:rPr>
      <w:rFonts w:asciiTheme="majorHAnsi" w:cstheme="majorBidi" w:eastAsiaTheme="majorEastAsia" w:hAnsiTheme="majorHAnsi"/>
      <w:i w:val="1"/>
      <w:color w:val="f19d64" w:themeColor="accent2" w:themeTint="0000BF"/>
      <w:szCs w:val="21"/>
      <w:lang w:bidi="it-IT" w:eastAsia="ja-JP" w:val="it-IT"/>
    </w:rPr>
  </w:style>
  <w:style w:type="character" w:styleId="Heading9Char" w:customStyle="1">
    <w:name w:val="Heading 9 Char"/>
    <w:basedOn w:val="DefaultParagraphFont"/>
    <w:link w:val="Heading9"/>
    <w:uiPriority w:val="9"/>
    <w:semiHidden w:val="1"/>
    <w:rsid w:val="000A4EA3"/>
    <w:rPr>
      <w:rFonts w:asciiTheme="majorHAnsi" w:cstheme="majorBidi" w:eastAsiaTheme="majorEastAsia" w:hAnsiTheme="majorHAnsi"/>
      <w:iCs w:val="1"/>
      <w:color w:val="f19d64" w:themeColor="accent2" w:themeTint="0000BF"/>
      <w:szCs w:val="21"/>
      <w:lang w:bidi="it-IT" w:eastAsia="ja-JP" w:val="it-IT"/>
    </w:rPr>
  </w:style>
  <w:style w:type="paragraph" w:styleId="Footer">
    <w:name w:val="footer"/>
    <w:basedOn w:val="Normal"/>
    <w:link w:val="FooterChar"/>
    <w:uiPriority w:val="99"/>
    <w:unhideWhenUsed w:val="1"/>
    <w:qFormat w:val="1"/>
    <w:rsid w:val="000A4EA3"/>
    <w:pPr>
      <w:spacing w:after="0" w:line="240" w:lineRule="auto"/>
    </w:pPr>
  </w:style>
  <w:style w:type="character" w:styleId="FooterChar" w:customStyle="1">
    <w:name w:val="Footer Char"/>
    <w:basedOn w:val="DefaultParagraphFont"/>
    <w:link w:val="Footer"/>
    <w:uiPriority w:val="99"/>
    <w:rsid w:val="000A4EA3"/>
    <w:rPr>
      <w:color w:val="4472c4" w:themeColor="accent1"/>
      <w:lang w:bidi="it-IT" w:eastAsia="ja-JP" w:val="it-IT"/>
    </w:rPr>
  </w:style>
  <w:style w:type="paragraph" w:styleId="Date">
    <w:name w:val="Date"/>
    <w:basedOn w:val="Normal"/>
    <w:next w:val="Title"/>
    <w:link w:val="DateChar"/>
    <w:uiPriority w:val="2"/>
    <w:qFormat w:val="1"/>
    <w:rsid w:val="000A4EA3"/>
    <w:pPr>
      <w:spacing w:after="360"/>
      <w:ind w:left="0"/>
    </w:pPr>
    <w:rPr>
      <w:sz w:val="28"/>
    </w:rPr>
  </w:style>
  <w:style w:type="character" w:styleId="DateChar" w:customStyle="1">
    <w:name w:val="Date Char"/>
    <w:basedOn w:val="DefaultParagraphFont"/>
    <w:link w:val="Date"/>
    <w:uiPriority w:val="2"/>
    <w:rsid w:val="000A4EA3"/>
    <w:rPr>
      <w:color w:val="4472c4" w:themeColor="accent1"/>
      <w:sz w:val="28"/>
      <w:lang w:bidi="it-IT" w:eastAsia="ja-JP" w:val="it-IT"/>
    </w:rPr>
  </w:style>
  <w:style w:type="paragraph" w:styleId="Title">
    <w:name w:val="Title"/>
    <w:basedOn w:val="Normal"/>
    <w:next w:val="Normal"/>
    <w:link w:val="TitleChar"/>
    <w:uiPriority w:val="10"/>
    <w:qFormat w:val="1"/>
    <w:rsid w:val="000A4EA3"/>
    <w:pPr>
      <w:spacing w:after="0" w:line="240" w:lineRule="auto"/>
      <w:contextualSpacing w:val="1"/>
    </w:pPr>
    <w:rPr>
      <w:rFonts w:asciiTheme="majorHAnsi" w:cstheme="majorBidi" w:eastAsiaTheme="majorEastAsia" w:hAnsiTheme="majorHAnsi"/>
      <w:color w:val="auto"/>
      <w:spacing w:val="-10"/>
      <w:kern w:val="28"/>
      <w:sz w:val="56"/>
      <w:szCs w:val="56"/>
    </w:rPr>
  </w:style>
  <w:style w:type="character" w:styleId="TitleChar" w:customStyle="1">
    <w:name w:val="Title Char"/>
    <w:basedOn w:val="DefaultParagraphFont"/>
    <w:link w:val="Title"/>
    <w:uiPriority w:val="10"/>
    <w:rsid w:val="000A4EA3"/>
    <w:rPr>
      <w:rFonts w:asciiTheme="majorHAnsi" w:cstheme="majorBidi" w:eastAsiaTheme="majorEastAsia" w:hAnsiTheme="majorHAnsi"/>
      <w:spacing w:val="-10"/>
      <w:kern w:val="28"/>
      <w:sz w:val="56"/>
      <w:szCs w:val="56"/>
      <w:lang w:bidi="it-IT" w:eastAsia="ja-JP" w:val="it-IT"/>
    </w:rPr>
  </w:style>
  <w:style w:type="paragraph" w:styleId="ListParagraph">
    <w:name w:val="List Paragraph"/>
    <w:basedOn w:val="Normal"/>
    <w:uiPriority w:val="34"/>
    <w:qFormat w:val="1"/>
    <w:rsid w:val="00B0277C"/>
    <w:pPr>
      <w:ind w:left="720"/>
      <w:contextualSpacing w:val="1"/>
    </w:pPr>
  </w:style>
  <w:style w:type="numbering" w:styleId="Outline" w:customStyle="1">
    <w:name w:val="Outline"/>
    <w:basedOn w:val="NoList"/>
    <w:rsid w:val="00BF75B1"/>
    <w:pPr>
      <w:numPr>
        <w:numId w:val="5"/>
      </w:numPr>
    </w:pPr>
  </w:style>
  <w:style w:type="paragraph" w:styleId="Standard" w:customStyle="1">
    <w:name w:val="Standard"/>
    <w:rsid w:val="00BF75B1"/>
    <w:pPr>
      <w:suppressAutoHyphens w:val="1"/>
      <w:autoSpaceDN w:val="0"/>
      <w:spacing w:after="120" w:line="288" w:lineRule="auto"/>
      <w:ind w:left="360"/>
      <w:textAlignment w:val="baseline"/>
    </w:pPr>
    <w:rPr>
      <w:rFonts w:ascii="Cambria" w:cs="DejaVu Sans" w:eastAsia="Cambria" w:hAnsi="Cambria"/>
      <w:color w:val="707070"/>
      <w:lang w:bidi="it-IT" w:eastAsia="ja-JP" w:val="it-IT"/>
    </w:rPr>
  </w:style>
  <w:style w:type="paragraph" w:styleId="NormalWeb">
    <w:name w:val="Normal (Web)"/>
    <w:basedOn w:val="Normal"/>
    <w:uiPriority w:val="99"/>
    <w:unhideWhenUsed w:val="1"/>
    <w:rsid w:val="00A04B21"/>
    <w:pPr>
      <w:spacing w:after="0" w:line="240" w:lineRule="auto"/>
      <w:ind w:left="0"/>
    </w:pPr>
    <w:rPr>
      <w:rFonts w:ascii="Times New Roman" w:cs="Times New Roman" w:hAnsi="Times New Roman"/>
      <w:color w:val="auto"/>
      <w:sz w:val="24"/>
      <w:szCs w:val="24"/>
      <w:lang w:bidi="ar-SA" w:eastAsia="en-US" w:val="en-US"/>
    </w:rPr>
  </w:style>
  <w:style w:type="paragraph" w:styleId="Caption">
    <w:name w:val="caption"/>
    <w:basedOn w:val="Normal"/>
    <w:next w:val="Normal"/>
    <w:uiPriority w:val="35"/>
    <w:unhideWhenUsed w:val="1"/>
    <w:qFormat w:val="1"/>
    <w:rsid w:val="00A04B21"/>
    <w:pPr>
      <w:spacing w:after="200" w:line="240" w:lineRule="auto"/>
      <w:ind w:left="0"/>
    </w:pPr>
    <w:rPr>
      <w:i w:val="1"/>
      <w:iCs w:val="1"/>
      <w:color w:val="44546a" w:themeColor="text2"/>
      <w:sz w:val="18"/>
      <w:szCs w:val="18"/>
      <w:lang w:bidi="ar-SA" w:eastAsia="en-US" w:val="en-US"/>
    </w:rPr>
  </w:style>
  <w:style w:type="table" w:styleId="TableGrid">
    <w:name w:val="Table Grid"/>
    <w:basedOn w:val="TableNormal"/>
    <w:uiPriority w:val="39"/>
    <w:rsid w:val="00A04B21"/>
    <w:pPr>
      <w:spacing w:after="0" w:line="240" w:lineRule="auto"/>
    </w:pPr>
    <w:rPr>
      <w:sz w:val="24"/>
      <w:szCs w:val="24"/>
      <w:lang w:val="en-US"/>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link w:val="SubtitleChar"/>
    <w:uiPriority w:val="11"/>
    <w:qFormat w:val="1"/>
    <w:rsid w:val="009C4170"/>
    <w:pPr>
      <w:numPr>
        <w:ilvl w:val="1"/>
      </w:numPr>
      <w:spacing w:after="160" w:line="240" w:lineRule="auto"/>
    </w:pPr>
    <w:rPr>
      <w:rFonts w:eastAsiaTheme="minorEastAsia"/>
      <w:color w:val="5a5a5a" w:themeColor="text1" w:themeTint="0000A5"/>
      <w:spacing w:val="15"/>
      <w:lang w:bidi="ar-SA" w:eastAsia="en-US" w:val="en-US"/>
    </w:rPr>
  </w:style>
  <w:style w:type="character" w:styleId="SubtitleChar" w:customStyle="1">
    <w:name w:val="Subtitle Char"/>
    <w:basedOn w:val="DefaultParagraphFont"/>
    <w:link w:val="Subtitle"/>
    <w:uiPriority w:val="11"/>
    <w:rsid w:val="009C4170"/>
    <w:rPr>
      <w:rFonts w:eastAsiaTheme="minorEastAsia"/>
      <w:color w:val="5a5a5a" w:themeColor="text1" w:themeTint="0000A5"/>
      <w:spacing w:val="15"/>
      <w:lang w:val="en-US"/>
    </w:rPr>
  </w:style>
  <w:style w:type="character" w:styleId="Hyperlink">
    <w:name w:val="Hyperlink"/>
    <w:basedOn w:val="DefaultParagraphFont"/>
    <w:uiPriority w:val="99"/>
    <w:semiHidden w:val="1"/>
    <w:unhideWhenUsed w:val="1"/>
    <w:rsid w:val="00F80C7A"/>
    <w:rPr>
      <w:color w:val="0000ff"/>
      <w:u w:val="single"/>
    </w:rPr>
  </w:style>
  <w:style w:type="paragraph" w:styleId="Subtitle">
    <w:name w:val="Subtitle"/>
    <w:basedOn w:val="Normal"/>
    <w:next w:val="Normal"/>
    <w:pPr>
      <w:spacing w:after="160" w:line="240" w:lineRule="auto"/>
    </w:pPr>
    <w:rPr>
      <w:color w:val="5a5a5a"/>
    </w:rPr>
  </w:style>
  <w:style w:type="table" w:styleId="Table1">
    <w:basedOn w:val="TableNormal"/>
    <w:pPr>
      <w:spacing w:after="0" w:line="240" w:lineRule="auto"/>
    </w:pPr>
    <w:rPr>
      <w:sz w:val="24"/>
      <w:szCs w:val="24"/>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0" Type="http://schemas.openxmlformats.org/officeDocument/2006/relationships/image" Target="media/image1.png"/><Relationship Id="rId13" Type="http://schemas.openxmlformats.org/officeDocument/2006/relationships/footer" Target="footer1.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al.archives-ouvertes.fr/tel-02475821"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cc.ligo.org/LIGO-G2102033" TargetMode="External"/><Relationship Id="rId8" Type="http://schemas.openxmlformats.org/officeDocument/2006/relationships/hyperlink" Target="https://dcc.ligo.org/G2102042"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mbriaMath-regular.ttf"/></Relationships>
</file>

<file path=word/_rels/header1.xml.rels><?xml version="1.0" encoding="UTF-8" standalone="yes"?><Relationships xmlns="http://schemas.openxmlformats.org/package/2006/relationships"><Relationship Id="rId1" Type="http://schemas.openxmlformats.org/officeDocument/2006/relationships/hyperlink" Target="https://dcc.ligo.org/LIGO-M21001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iJnrsT8o+LigPgCxGdLQQ8hkLA==">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2021-10-15T08:17:00Z</dcterms:created>
  <dc:creator>Sheila Rowan</dc:creator>
</cp:coreProperties>
</file>