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49"/>
        <w:gridCol w:w="7055"/>
      </w:tblGrid>
      <w:tr w:rsidR="00C22B7B" w:rsidRPr="000A79CE" w14:paraId="524091DF" w14:textId="77777777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709DDBCD" w14:textId="77777777" w:rsidR="00C22B7B" w:rsidRP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 w:rsidRPr="00C22B7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Title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14:paraId="730642E0" w14:textId="64A6B6BA" w:rsidR="00C22B7B" w:rsidRPr="00C22B7B" w:rsidRDefault="003374D3" w:rsidP="005B75B1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Procedure for Clean and Bake </w:t>
            </w:r>
            <w:r w:rsidR="002C7D72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of Vacuum</w:t>
            </w: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Feedthroughs</w:t>
            </w:r>
            <w:r w:rsidR="006262AD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.</w:t>
            </w:r>
            <w:r w:rsidR="00755714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C22B7B" w14:paraId="5CC8506A" w14:textId="77777777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1228F3A7" w14:textId="2DE9E4C1" w:rsidR="00C22B7B" w:rsidRPr="00C22B7B" w:rsidRDefault="00AD560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Author</w:t>
            </w:r>
            <w:r w:rsidR="00D66A2D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s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14:paraId="481806C3" w14:textId="0BAA16AE" w:rsidR="00C22B7B" w:rsidRPr="00C22B7B" w:rsidRDefault="00966962" w:rsidP="00C22B7B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L. Sanchez</w:t>
            </w:r>
            <w:r w:rsidR="00935F00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</w:t>
            </w:r>
            <w:r w:rsidR="002C7D72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R. Abbott </w:t>
            </w:r>
            <w:r w:rsidR="00AD560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Caltech</w:t>
            </w:r>
          </w:p>
        </w:tc>
      </w:tr>
      <w:tr w:rsidR="00C22B7B" w14:paraId="44A23994" w14:textId="77777777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14:paraId="0BC1C9BA" w14:textId="77777777" w:rsid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Date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14:paraId="2464A888" w14:textId="66CF0678" w:rsidR="00C22B7B" w:rsidRPr="00C22B7B" w:rsidRDefault="002C7D72" w:rsidP="000E535A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2</w:t>
            </w:r>
            <w:r w:rsidR="004A777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5</w:t>
            </w:r>
            <w:r w:rsidR="00E60CE2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</w:t>
            </w:r>
            <w:r w:rsidR="006262AD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J</w:t>
            </w: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anuary</w:t>
            </w:r>
            <w:r w:rsidR="00AD560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20</w:t>
            </w:r>
            <w:r w:rsidR="004F32D1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1</w:t>
            </w:r>
          </w:p>
        </w:tc>
      </w:tr>
    </w:tbl>
    <w:p w14:paraId="1E87CA3E" w14:textId="77777777" w:rsidR="00D34641" w:rsidRPr="00303C28" w:rsidRDefault="00234CB5" w:rsidP="00E428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6D725" wp14:editId="7998945C">
                <wp:simplePos x="0" y="0"/>
                <wp:positionH relativeFrom="column">
                  <wp:posOffset>-119177</wp:posOffset>
                </wp:positionH>
                <wp:positionV relativeFrom="paragraph">
                  <wp:posOffset>116540</wp:posOffset>
                </wp:positionV>
                <wp:extent cx="5804403" cy="0"/>
                <wp:effectExtent l="38100" t="38100" r="635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0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577E7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pt,9.2pt" to="447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5A668071" w14:textId="77777777" w:rsidR="003B65CC" w:rsidRPr="00AD560B" w:rsidRDefault="003B65CC" w:rsidP="004449B8">
      <w:pPr>
        <w:pStyle w:val="Heading1"/>
        <w:numPr>
          <w:ilvl w:val="0"/>
          <w:numId w:val="0"/>
        </w:numPr>
      </w:pPr>
      <w:r w:rsidRPr="00AD560B">
        <w:t>Overview</w:t>
      </w:r>
    </w:p>
    <w:p w14:paraId="3FAED66A" w14:textId="3449C376" w:rsidR="003B79EF" w:rsidRDefault="00701E17" w:rsidP="003B79EF">
      <w:r>
        <w:t xml:space="preserve">The following </w:t>
      </w:r>
      <w:r w:rsidR="003C489D">
        <w:t xml:space="preserve">note </w:t>
      </w:r>
      <w:r>
        <w:t>details</w:t>
      </w:r>
      <w:r w:rsidR="001668C9">
        <w:t xml:space="preserve"> the </w:t>
      </w:r>
      <w:r w:rsidR="002C7D72">
        <w:t xml:space="preserve">procedure for cleaning and baking vacuum feedthroughs.  </w:t>
      </w:r>
      <w:r w:rsidR="006671F8">
        <w:t xml:space="preserve">A basic check </w:t>
      </w:r>
      <w:r w:rsidR="00C35F99">
        <w:t xml:space="preserve">with the original manufacturer for any special handling processes </w:t>
      </w:r>
      <w:r w:rsidR="006671F8">
        <w:t xml:space="preserve">is advised to be sure any limits imposed by the original manufacturer are observed.  </w:t>
      </w:r>
      <w:r w:rsidR="002D1B79">
        <w:t>For reference, d</w:t>
      </w:r>
      <w:r w:rsidR="00931339">
        <w:t xml:space="preserve">etails </w:t>
      </w:r>
      <w:r w:rsidR="00470E2D">
        <w:t>relevant to</w:t>
      </w:r>
      <w:r w:rsidR="003B79EF">
        <w:t xml:space="preserve"> </w:t>
      </w:r>
      <w:r w:rsidR="00131CAF">
        <w:t xml:space="preserve">the </w:t>
      </w:r>
      <w:r w:rsidR="006671F8">
        <w:t xml:space="preserve">different </w:t>
      </w:r>
      <w:r w:rsidR="00F441E8">
        <w:t xml:space="preserve">species of the </w:t>
      </w:r>
      <w:r w:rsidR="003B79EF">
        <w:t xml:space="preserve">A-plus </w:t>
      </w:r>
      <w:r w:rsidR="00470E2D">
        <w:t>f</w:t>
      </w:r>
      <w:r w:rsidR="003B79EF">
        <w:t>eedthrough</w:t>
      </w:r>
      <w:r w:rsidR="00470E2D">
        <w:t>s</w:t>
      </w:r>
      <w:r w:rsidR="003B79EF">
        <w:t xml:space="preserve"> can be found </w:t>
      </w:r>
      <w:r w:rsidR="00470E2D">
        <w:t xml:space="preserve">at the </w:t>
      </w:r>
      <w:r w:rsidR="00643A1D">
        <w:t>collector point</w:t>
      </w:r>
      <w:r w:rsidR="00470E2D">
        <w:t xml:space="preserve"> </w:t>
      </w:r>
      <w:r w:rsidR="003B79EF">
        <w:t>E2000302</w:t>
      </w:r>
      <w:r w:rsidR="00470E2D">
        <w:t xml:space="preserve">. </w:t>
      </w:r>
      <w:r w:rsidR="003B79EF">
        <w:t xml:space="preserve"> Document E2000279 </w:t>
      </w:r>
      <w:r w:rsidR="003E52BB">
        <w:t>(</w:t>
      </w:r>
      <w:r w:rsidR="003B79EF">
        <w:t>Feedthrough tab</w:t>
      </w:r>
      <w:r w:rsidR="003E52BB">
        <w:t>)</w:t>
      </w:r>
      <w:r w:rsidR="003B79EF">
        <w:t xml:space="preserve"> list</w:t>
      </w:r>
      <w:r w:rsidR="00643A1D">
        <w:t>s</w:t>
      </w:r>
      <w:r w:rsidR="003B79EF">
        <w:t xml:space="preserve"> the total </w:t>
      </w:r>
      <w:r w:rsidR="00643A1D">
        <w:t>f</w:t>
      </w:r>
      <w:r w:rsidR="005532B7">
        <w:t>eedthroughs f</w:t>
      </w:r>
      <w:r w:rsidR="00643A1D">
        <w:t>or</w:t>
      </w:r>
      <w:r w:rsidR="003B79EF">
        <w:t xml:space="preserve"> both sites.</w:t>
      </w:r>
    </w:p>
    <w:p w14:paraId="4940C366" w14:textId="6C19181B" w:rsidR="0057093F" w:rsidRDefault="003B79EF" w:rsidP="003B79EF">
      <w:pPr>
        <w:pStyle w:val="Heading1"/>
        <w:numPr>
          <w:ilvl w:val="0"/>
          <w:numId w:val="0"/>
        </w:numPr>
      </w:pPr>
      <w:r>
        <w:t>Description</w:t>
      </w:r>
    </w:p>
    <w:p w14:paraId="313398F5" w14:textId="64683194" w:rsidR="003B79EF" w:rsidRDefault="00A8373B" w:rsidP="001668C9">
      <w:r>
        <w:t xml:space="preserve">The </w:t>
      </w:r>
      <w:r w:rsidR="003B79EF">
        <w:t xml:space="preserve">LIGO document E960022 describes the guidelines for the Clean and Bake process </w:t>
      </w:r>
      <w:r w:rsidR="00643A1D">
        <w:t>for</w:t>
      </w:r>
      <w:r w:rsidR="003B79EF">
        <w:t xml:space="preserve"> UHV parts. </w:t>
      </w:r>
      <w:r w:rsidR="00643A1D">
        <w:t>The previous process</w:t>
      </w:r>
      <w:r w:rsidR="00F25BB3">
        <w:t xml:space="preserve"> is listed on p</w:t>
      </w:r>
      <w:r w:rsidR="00643A1D">
        <w:t>age</w:t>
      </w:r>
      <w:r w:rsidR="00F25BB3">
        <w:t xml:space="preserve"> 42</w:t>
      </w:r>
      <w:r w:rsidR="00643A1D">
        <w:t xml:space="preserve"> of this document</w:t>
      </w:r>
      <w:r w:rsidR="00F25BB3">
        <w:t>. In addition,</w:t>
      </w:r>
      <w:r w:rsidR="003B79EF">
        <w:t xml:space="preserve"> a</w:t>
      </w:r>
      <w:r w:rsidR="00643A1D">
        <w:t xml:space="preserve"> pictorial </w:t>
      </w:r>
      <w:r w:rsidR="003B79EF">
        <w:t>guide for Advanced LIGO F</w:t>
      </w:r>
      <w:r w:rsidR="00F25BB3">
        <w:t>eedthrough parts can be seen on</w:t>
      </w:r>
      <w:r w:rsidR="003B79EF">
        <w:t xml:space="preserve"> E1200250. </w:t>
      </w:r>
    </w:p>
    <w:p w14:paraId="3BAE9A08" w14:textId="7D153779" w:rsidR="000E535A" w:rsidRDefault="000E535A" w:rsidP="000E535A">
      <w:r>
        <w:t xml:space="preserve">Prior to the Clean and Bake process, all feedthroughs </w:t>
      </w:r>
      <w:r w:rsidR="00643A1D">
        <w:t xml:space="preserve">must </w:t>
      </w:r>
      <w:r>
        <w:t>be entered into the Inventory Control System (ICS</w:t>
      </w:r>
      <w:r w:rsidR="0061460A">
        <w:t>).  A</w:t>
      </w:r>
      <w:r>
        <w:t xml:space="preserve"> Clean and Bake request</w:t>
      </w:r>
      <w:r w:rsidR="0061460A">
        <w:t xml:space="preserve"> form must</w:t>
      </w:r>
      <w:r>
        <w:t xml:space="preserve"> be generated</w:t>
      </w:r>
      <w:r w:rsidR="00DE7582">
        <w:t xml:space="preserve"> for each clean and bake job</w:t>
      </w:r>
      <w:r>
        <w:t xml:space="preserve">. When possible add photographs </w:t>
      </w:r>
      <w:r w:rsidR="00DE7582">
        <w:t>of all</w:t>
      </w:r>
      <w:r>
        <w:t xml:space="preserve"> item</w:t>
      </w:r>
      <w:r w:rsidR="00DE7582">
        <w:t>.  V</w:t>
      </w:r>
      <w:r>
        <w:t>erify</w:t>
      </w:r>
      <w:r w:rsidR="00DE7582">
        <w:t xml:space="preserve"> the</w:t>
      </w:r>
      <w:r>
        <w:t xml:space="preserve"> serial numbers and </w:t>
      </w:r>
      <w:r w:rsidR="00DE7582">
        <w:t>note the starting degree</w:t>
      </w:r>
      <w:r>
        <w:t xml:space="preserve"> of clean</w:t>
      </w:r>
      <w:r w:rsidR="00DE7582">
        <w:t>liness</w:t>
      </w:r>
      <w:r>
        <w:t xml:space="preserve"> </w:t>
      </w:r>
      <w:r w:rsidR="00DE7582">
        <w:t>for the</w:t>
      </w:r>
      <w:r>
        <w:t xml:space="preserve"> feedthrough</w:t>
      </w:r>
      <w:r w:rsidR="00DE7582">
        <w:t>s to be processed.  A post-c</w:t>
      </w:r>
      <w:r>
        <w:t xml:space="preserve">leaning </w:t>
      </w:r>
      <w:r w:rsidR="00DE7582">
        <w:t>s</w:t>
      </w:r>
      <w:r>
        <w:t xml:space="preserve">torage or </w:t>
      </w:r>
      <w:r w:rsidR="00DE7582">
        <w:t>a</w:t>
      </w:r>
      <w:r>
        <w:t xml:space="preserve">ssembly </w:t>
      </w:r>
      <w:r w:rsidR="00DE7582">
        <w:t>load must be recorded in</w:t>
      </w:r>
      <w:r>
        <w:t xml:space="preserve"> ICS</w:t>
      </w:r>
      <w:r w:rsidR="00DE7582">
        <w:t xml:space="preserve"> and approval must be obtained after completion.</w:t>
      </w:r>
    </w:p>
    <w:p w14:paraId="31FE1837" w14:textId="6E3571B5" w:rsidR="00053907" w:rsidRDefault="00053907" w:rsidP="000E535A">
      <w:r>
        <w:t>The use of ultrasonic cleaning methods is deliberately not permitted in this procedure due to concerns raised by the original A+ feedthrough vendor (Solid Sealing Technologies, SST)</w:t>
      </w:r>
      <w:r w:rsidR="00D80313">
        <w:t xml:space="preserve"> in an email communication with Luis Sanchez.  Also, Chandra Romel had the same concerns</w:t>
      </w:r>
      <w:r w:rsidR="00A25ACB">
        <w:t>, but specifically was focused on assemblies with welded bellows.  In an abundance of caution, it was decided to forego any ultrasonic cleaning.</w:t>
      </w:r>
    </w:p>
    <w:p w14:paraId="1358271D" w14:textId="71B67909" w:rsidR="00AA41BC" w:rsidRDefault="00AA41BC" w:rsidP="000E535A">
      <w:r>
        <w:t xml:space="preserve">The procedure below implies 100% helium leak check is required.  On an as-need basis, the </w:t>
      </w:r>
      <w:r w:rsidR="00400CAD">
        <w:t>local Vacuum Representative</w:t>
      </w:r>
      <w:r>
        <w:t xml:space="preserve"> can grant waivers for this step (</w:t>
      </w:r>
      <w:r w:rsidR="006C7012">
        <w:t>or others</w:t>
      </w:r>
      <w:r>
        <w:t>) as required to meet specific program goals.</w:t>
      </w:r>
      <w:r w:rsidR="004A777B">
        <w:t xml:space="preserve">  </w:t>
      </w:r>
      <w:r w:rsidR="00887F13">
        <w:t>T</w:t>
      </w:r>
      <w:r w:rsidR="004A777B">
        <w:t>he A+ vacuum feedthroughs</w:t>
      </w:r>
      <w:r w:rsidR="00887F13">
        <w:t xml:space="preserve"> are an example</w:t>
      </w:r>
      <w:r w:rsidR="004A777B">
        <w:t>, for which it was decided that 100% helium leak checking was not required in part due to the ease with which these parts can be checked in situ on the related chamber.</w:t>
      </w:r>
    </w:p>
    <w:p w14:paraId="004E4EC7" w14:textId="028BBD3A" w:rsidR="0097591A" w:rsidRDefault="00C04A43" w:rsidP="000E535A">
      <w:r>
        <w:t>Bolting a new conflat flange onto a chamber, or parent flange, exposes the conflat to additional stresses that may induce leaks.  For this reason, when possible, flanges should be assembled clean prior to integration onto a HAM or BSC chamber and leak checked as an assembly.  An example might be that a 12-inch flange has three 4.5-inch subflanges and is intended for installation onto a chamber.  In this case, the subflanges can be integrated onto the main 12-inch flange prior to installation thus improving the reach of the leak check in terms of finding potential leaks.  This principle won’t apply when replacing or installing a 4.5-inch subflange onto an already installed 12-inch flange.</w:t>
      </w:r>
    </w:p>
    <w:p w14:paraId="72F521FC" w14:textId="35496AEA" w:rsidR="00F441E8" w:rsidRDefault="00F441E8" w:rsidP="00F441E8">
      <w:pPr>
        <w:pStyle w:val="Heading1"/>
        <w:numPr>
          <w:ilvl w:val="0"/>
          <w:numId w:val="0"/>
        </w:numPr>
      </w:pPr>
      <w:r>
        <w:t>Process Outline</w:t>
      </w:r>
    </w:p>
    <w:p w14:paraId="372001E5" w14:textId="05401F6F" w:rsidR="00E0389F" w:rsidRPr="00E0389F" w:rsidRDefault="00E0389F" w:rsidP="00E0389F">
      <w:pPr>
        <w:pStyle w:val="ListParagraph"/>
        <w:numPr>
          <w:ilvl w:val="0"/>
          <w:numId w:val="36"/>
        </w:numPr>
      </w:pPr>
      <w:r w:rsidRPr="00E0389F">
        <w:t>Physically inspect each feedthrough to ensure all dimensions agree with the specification.</w:t>
      </w:r>
      <w:r w:rsidR="006D6F09">
        <w:t xml:space="preserve">  This should include a test-fit of electrical connectors to ensure there are no interface issue</w:t>
      </w:r>
      <w:r w:rsidR="00FE2F8A">
        <w:t>s.  Electrical continuity and isolation (where required) must be verified before clean</w:t>
      </w:r>
      <w:r w:rsidR="000263B4">
        <w:t>-</w:t>
      </w:r>
      <w:r w:rsidR="00FE2F8A">
        <w:t>and</w:t>
      </w:r>
      <w:r w:rsidR="000263B4">
        <w:t>-</w:t>
      </w:r>
      <w:r w:rsidR="00FE2F8A">
        <w:t>bake.</w:t>
      </w:r>
    </w:p>
    <w:p w14:paraId="61F57539" w14:textId="77777777" w:rsidR="00E0389F" w:rsidRPr="00E0389F" w:rsidRDefault="00E0389F" w:rsidP="00E0389F">
      <w:pPr>
        <w:pStyle w:val="ListParagraph"/>
        <w:numPr>
          <w:ilvl w:val="0"/>
          <w:numId w:val="36"/>
        </w:numPr>
      </w:pPr>
      <w:r w:rsidRPr="00E0389F">
        <w:t>Inspect the conflat knife edge for any damage to this critical sealing surface.</w:t>
      </w:r>
    </w:p>
    <w:p w14:paraId="209EED0B" w14:textId="1825CC24" w:rsidR="00E0389F" w:rsidRPr="00E0389F" w:rsidRDefault="00E0389F" w:rsidP="00E0389F">
      <w:pPr>
        <w:pStyle w:val="ListParagraph"/>
        <w:numPr>
          <w:ilvl w:val="0"/>
          <w:numId w:val="36"/>
        </w:numPr>
      </w:pPr>
      <w:r w:rsidRPr="00E0389F">
        <w:t>Prior to any further processing, a helium leak check should be performed to ensure the initial hermeticity of the parts - as received from the manufacturer – is known</w:t>
      </w:r>
      <w:r w:rsidR="00053907">
        <w:t xml:space="preserve"> and the results recorded</w:t>
      </w:r>
      <w:r w:rsidRPr="00E0389F">
        <w:t>.</w:t>
      </w:r>
    </w:p>
    <w:p w14:paraId="0BF8709A" w14:textId="77512838" w:rsidR="00E0389F" w:rsidRPr="00E0389F" w:rsidRDefault="00E0389F" w:rsidP="00E0389F">
      <w:pPr>
        <w:pStyle w:val="ListParagraph"/>
        <w:numPr>
          <w:ilvl w:val="0"/>
          <w:numId w:val="36"/>
        </w:numPr>
      </w:pPr>
      <w:r w:rsidRPr="00E0389F">
        <w:t xml:space="preserve">Prepare </w:t>
      </w:r>
      <w:r w:rsidR="00730968">
        <w:t xml:space="preserve">Liquinox </w:t>
      </w:r>
      <w:r w:rsidRPr="00E0389F">
        <w:t xml:space="preserve">cleaning solution in a stainless-steel container or tank. </w:t>
      </w:r>
    </w:p>
    <w:p w14:paraId="550480DC" w14:textId="77777777" w:rsidR="00E0389F" w:rsidRPr="00E0389F" w:rsidRDefault="00E0389F" w:rsidP="00E0389F">
      <w:pPr>
        <w:pStyle w:val="ListParagraph"/>
        <w:numPr>
          <w:ilvl w:val="0"/>
          <w:numId w:val="36"/>
        </w:numPr>
      </w:pPr>
      <w:r w:rsidRPr="00E0389F">
        <w:t xml:space="preserve">Transfer prepared cleaning solution in a stainless tank or container (bucket). </w:t>
      </w:r>
    </w:p>
    <w:p w14:paraId="28D06B9D" w14:textId="77777777" w:rsidR="00E0389F" w:rsidRPr="00E0389F" w:rsidRDefault="00E0389F" w:rsidP="00E0389F">
      <w:pPr>
        <w:pStyle w:val="ListParagraph"/>
        <w:numPr>
          <w:ilvl w:val="0"/>
          <w:numId w:val="36"/>
        </w:numPr>
      </w:pPr>
      <w:r w:rsidRPr="00E0389F">
        <w:t xml:space="preserve">Submerge the part or incremental sections until all surfaces have been exposed to cleaning solution. </w:t>
      </w:r>
    </w:p>
    <w:p w14:paraId="5EBD2AE5" w14:textId="1269E0EC" w:rsidR="00E0389F" w:rsidRDefault="00E0389F" w:rsidP="00E0389F">
      <w:pPr>
        <w:pStyle w:val="ListParagraph"/>
        <w:numPr>
          <w:ilvl w:val="0"/>
          <w:numId w:val="36"/>
        </w:numPr>
      </w:pPr>
      <w:r w:rsidRPr="00E0389F">
        <w:lastRenderedPageBreak/>
        <w:t xml:space="preserve">Clean the entire part using soaked clean wipers/brushes, prioritizing on blind and through holes, while finishing with the main surfaces. Cleaning solution should not be allowed to dry on part during cleaning operations. </w:t>
      </w:r>
    </w:p>
    <w:p w14:paraId="02E67F4D" w14:textId="4C50C96E" w:rsidR="00493673" w:rsidRPr="00E0389F" w:rsidRDefault="00C21DEE" w:rsidP="00E0389F">
      <w:pPr>
        <w:pStyle w:val="ListParagraph"/>
        <w:numPr>
          <w:ilvl w:val="0"/>
          <w:numId w:val="36"/>
        </w:numPr>
      </w:pPr>
      <w:r>
        <w:t>Perform a DI only water rinse to remove cleaning solution.</w:t>
      </w:r>
    </w:p>
    <w:p w14:paraId="1A236A43" w14:textId="78170E2E" w:rsidR="00E0389F" w:rsidRPr="00E0389F" w:rsidRDefault="00E0389F" w:rsidP="00E0389F">
      <w:pPr>
        <w:pStyle w:val="ListParagraph"/>
        <w:numPr>
          <w:ilvl w:val="0"/>
          <w:numId w:val="36"/>
        </w:numPr>
      </w:pPr>
      <w:r w:rsidRPr="00E0389F">
        <w:t xml:space="preserve">Rinse the part in IPA to bond with </w:t>
      </w:r>
      <w:r w:rsidR="00551A50">
        <w:t>residual</w:t>
      </w:r>
      <w:r w:rsidRPr="00E0389F">
        <w:t xml:space="preserve"> water and facilitate drying.</w:t>
      </w:r>
    </w:p>
    <w:p w14:paraId="5BB0425D" w14:textId="4DFC567A" w:rsidR="00E0389F" w:rsidRPr="00E0389F" w:rsidRDefault="00E0389F" w:rsidP="00E0389F">
      <w:pPr>
        <w:pStyle w:val="ListParagraph"/>
        <w:numPr>
          <w:ilvl w:val="0"/>
          <w:numId w:val="36"/>
        </w:numPr>
      </w:pPr>
      <w:r w:rsidRPr="00E0389F">
        <w:t xml:space="preserve">Dry the feedthroughs in a clean flow-bench for a minimum of </w:t>
      </w:r>
      <w:r w:rsidR="0071552E">
        <w:t>4</w:t>
      </w:r>
      <w:r w:rsidRPr="00E0389F">
        <w:t xml:space="preserve"> hours to evaporate the bulk of the cleaning solution prior to baking.</w:t>
      </w:r>
    </w:p>
    <w:p w14:paraId="13EEC234" w14:textId="77777777" w:rsidR="00E0389F" w:rsidRPr="00E0389F" w:rsidRDefault="00E0389F" w:rsidP="00E0389F">
      <w:pPr>
        <w:pStyle w:val="ListParagraph"/>
        <w:numPr>
          <w:ilvl w:val="0"/>
          <w:numId w:val="36"/>
        </w:numPr>
      </w:pPr>
      <w:r w:rsidRPr="00E0389F">
        <w:t>Carefully load the parts into a vacuum-bake oven taking care to avoid damage to the knife edges of the conflat sealing surface as well as the pins or protrusions of the electrical portions of the feedthrough.</w:t>
      </w:r>
    </w:p>
    <w:p w14:paraId="499D0541" w14:textId="77777777" w:rsidR="00E0389F" w:rsidRPr="00E0389F" w:rsidRDefault="00E0389F" w:rsidP="00E0389F">
      <w:pPr>
        <w:pStyle w:val="ListParagraph"/>
        <w:numPr>
          <w:ilvl w:val="0"/>
          <w:numId w:val="36"/>
        </w:numPr>
      </w:pPr>
      <w:r w:rsidRPr="00E0389F">
        <w:t>Program the vacuum bake oven temperature controller to a ramp-hold-ramp profile per the description below.  The ramp profile up and down avoids rapid temperature changes that may compromise the electrical feedthrough integrity via thermal stresses.</w:t>
      </w:r>
    </w:p>
    <w:p w14:paraId="27DF6994" w14:textId="77777777" w:rsidR="00E0389F" w:rsidRPr="00E0389F" w:rsidRDefault="00E0389F" w:rsidP="00E0389F">
      <w:pPr>
        <w:pStyle w:val="ListParagraph"/>
        <w:numPr>
          <w:ilvl w:val="0"/>
          <w:numId w:val="36"/>
        </w:numPr>
      </w:pPr>
      <w:r w:rsidRPr="00E0389F">
        <w:t>Program a linear 6-hour temperature ramp from ambient (assumed to be ~20C) to 150C over a 6-hour time period.</w:t>
      </w:r>
    </w:p>
    <w:p w14:paraId="40E219DF" w14:textId="77777777" w:rsidR="00E0389F" w:rsidRPr="00E0389F" w:rsidRDefault="00E0389F" w:rsidP="00E0389F">
      <w:pPr>
        <w:pStyle w:val="ListParagraph"/>
        <w:numPr>
          <w:ilvl w:val="0"/>
          <w:numId w:val="36"/>
        </w:numPr>
      </w:pPr>
      <w:r w:rsidRPr="00E0389F">
        <w:t>After the initial ramp to 150C, program a 48 hour hold at 150C.</w:t>
      </w:r>
    </w:p>
    <w:p w14:paraId="3D076850" w14:textId="77777777" w:rsidR="00E0389F" w:rsidRPr="00E0389F" w:rsidRDefault="00E0389F" w:rsidP="00E0389F">
      <w:pPr>
        <w:pStyle w:val="ListParagraph"/>
        <w:numPr>
          <w:ilvl w:val="0"/>
          <w:numId w:val="36"/>
        </w:numPr>
      </w:pPr>
      <w:r w:rsidRPr="00E0389F">
        <w:t>At the end of the 150C, 48-hour period, program a 6-hour ramp from 150C to ambient.</w:t>
      </w:r>
    </w:p>
    <w:p w14:paraId="603998E8" w14:textId="27542252" w:rsidR="00E0389F" w:rsidRDefault="00E0389F" w:rsidP="00E0389F">
      <w:pPr>
        <w:pStyle w:val="ListParagraph"/>
        <w:numPr>
          <w:ilvl w:val="0"/>
          <w:numId w:val="36"/>
        </w:numPr>
      </w:pPr>
      <w:r w:rsidRPr="00E0389F">
        <w:t>After the parts return to ambient temperature, an RGA scan must be performed and approval must be obtained from a qualified vacuum reviewer (ask Systems if there is any doubt) as to the acceptability of the cleanliness associated with the RGA scan results.</w:t>
      </w:r>
    </w:p>
    <w:p w14:paraId="61B563ED" w14:textId="722E422A" w:rsidR="0046495D" w:rsidRDefault="0046495D" w:rsidP="00E0389F">
      <w:pPr>
        <w:pStyle w:val="ListParagraph"/>
        <w:numPr>
          <w:ilvl w:val="0"/>
          <w:numId w:val="36"/>
        </w:numPr>
      </w:pPr>
      <w:r>
        <w:t xml:space="preserve">Upon removal from the vacuum-bake oven, and prior to entering service, </w:t>
      </w:r>
      <w:r w:rsidR="00AA41BC">
        <w:t>the vacuum feedthroughs must be helium leak checked once more, and the results recorded in the bake-load ICS report.</w:t>
      </w:r>
    </w:p>
    <w:p w14:paraId="73AD3666" w14:textId="789314C0" w:rsidR="00201792" w:rsidRPr="00E0389F" w:rsidRDefault="00201792" w:rsidP="00E0389F">
      <w:pPr>
        <w:pStyle w:val="ListParagraph"/>
        <w:numPr>
          <w:ilvl w:val="0"/>
          <w:numId w:val="36"/>
        </w:numPr>
      </w:pPr>
      <w:r>
        <w:t>Post bake electrical testing may be required on a case-by-case basis depending on the physical complexity of the feedthrough.  Consult the CDS group for further clarification.</w:t>
      </w:r>
    </w:p>
    <w:p w14:paraId="422F417D" w14:textId="26095E41" w:rsidR="00A72C7F" w:rsidRPr="00E0389F" w:rsidRDefault="00E0389F" w:rsidP="0046495D">
      <w:pPr>
        <w:pStyle w:val="ListParagraph"/>
        <w:numPr>
          <w:ilvl w:val="0"/>
          <w:numId w:val="36"/>
        </w:numPr>
      </w:pPr>
      <w:r w:rsidRPr="00E0389F">
        <w:t>Once the parts are certified based on the RGA scan results, the parts can be removed from the vacuum-bake oven and packaged per the normal process for Class-A cleaned parts.</w:t>
      </w:r>
      <w:r w:rsidR="008E4271">
        <w:t xml:space="preserve">  Special attention needs to be taken to ensure the knife-edge of the conflat flanges is protected.  Packing conflat region with lint-free clean-room wipes is recommended prior to wrapping the unit in aluminum foil and bagging.</w:t>
      </w:r>
    </w:p>
    <w:p w14:paraId="2DC80728" w14:textId="09227CF9" w:rsidR="005532B7" w:rsidRDefault="00E0389F" w:rsidP="00E0389F">
      <w:pPr>
        <w:pStyle w:val="ListParagraph"/>
        <w:numPr>
          <w:ilvl w:val="0"/>
          <w:numId w:val="36"/>
        </w:numPr>
      </w:pPr>
      <w:r w:rsidRPr="00E0389F">
        <w:t xml:space="preserve">All process results and notes </w:t>
      </w:r>
      <w:r w:rsidRPr="00CA5BD4">
        <w:rPr>
          <w:b/>
          <w:bCs/>
        </w:rPr>
        <w:t>MUST</w:t>
      </w:r>
      <w:r w:rsidRPr="00E0389F">
        <w:t xml:space="preserve"> be recorded in the bake-load ICS report associated with the parts.</w:t>
      </w:r>
    </w:p>
    <w:sectPr w:rsidR="005532B7" w:rsidSect="004C6B3C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20646" w14:textId="77777777" w:rsidR="0035305F" w:rsidRDefault="0035305F" w:rsidP="00E428FF">
      <w:r>
        <w:separator/>
      </w:r>
    </w:p>
  </w:endnote>
  <w:endnote w:type="continuationSeparator" w:id="0">
    <w:p w14:paraId="55F8BE14" w14:textId="77777777" w:rsidR="0035305F" w:rsidRDefault="0035305F" w:rsidP="00E4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267A1" w14:textId="77777777" w:rsidR="0035305F" w:rsidRDefault="0035305F" w:rsidP="00E428FF">
      <w:r>
        <w:separator/>
      </w:r>
    </w:p>
  </w:footnote>
  <w:footnote w:type="continuationSeparator" w:id="0">
    <w:p w14:paraId="793AD814" w14:textId="77777777" w:rsidR="0035305F" w:rsidRDefault="0035305F" w:rsidP="00E4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012B" w14:textId="462CAAD3" w:rsidR="00D17AE8" w:rsidRDefault="000A79CE" w:rsidP="00E428FF">
    <w:pPr>
      <w:pStyle w:val="Header"/>
    </w:pPr>
    <w:r>
      <w:ptab w:relativeTo="margin" w:alignment="right" w:leader="none"/>
    </w:r>
    <w:r w:rsidR="003561C9">
      <w:t>E</w:t>
    </w:r>
    <w:r w:rsidR="006262AD">
      <w:t>2000</w:t>
    </w:r>
    <w:r w:rsidR="00FC1FA9">
      <w:t>330</w:t>
    </w:r>
    <w:r w:rsidR="005B75B1">
      <w:t>-v</w:t>
    </w:r>
    <w:r w:rsidR="00AA1EC9">
      <w:t>4</w:t>
    </w:r>
    <w:r w:rsidR="00D17AE8">
      <w:t xml:space="preserve">, Page </w:t>
    </w:r>
    <w:r w:rsidR="00D17AE8">
      <w:fldChar w:fldCharType="begin"/>
    </w:r>
    <w:r w:rsidR="00D17AE8">
      <w:instrText xml:space="preserve"> PAGE   \* MERGEFORMAT </w:instrText>
    </w:r>
    <w:r w:rsidR="00D17AE8">
      <w:fldChar w:fldCharType="separate"/>
    </w:r>
    <w:r w:rsidR="00FC1FA9">
      <w:rPr>
        <w:noProof/>
      </w:rPr>
      <w:t>1</w:t>
    </w:r>
    <w:r w:rsidR="00D17AE8">
      <w:rPr>
        <w:noProof/>
      </w:rPr>
      <w:fldChar w:fldCharType="end"/>
    </w:r>
  </w:p>
  <w:p w14:paraId="6349B3EC" w14:textId="77777777" w:rsidR="00D17AE8" w:rsidRDefault="00D17AE8" w:rsidP="00E42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71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FF3D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7864A97"/>
    <w:multiLevelType w:val="hybridMultilevel"/>
    <w:tmpl w:val="957A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3872F8"/>
    <w:multiLevelType w:val="hybridMultilevel"/>
    <w:tmpl w:val="0C94C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2A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EB974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2407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7" w15:restartNumberingAfterBreak="0">
    <w:nsid w:val="1C842B84"/>
    <w:multiLevelType w:val="hybridMultilevel"/>
    <w:tmpl w:val="2946D7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A07C1"/>
    <w:multiLevelType w:val="hybridMultilevel"/>
    <w:tmpl w:val="59FEB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616B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AFC43E0"/>
    <w:multiLevelType w:val="hybridMultilevel"/>
    <w:tmpl w:val="437A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E13AF"/>
    <w:multiLevelType w:val="hybridMultilevel"/>
    <w:tmpl w:val="37F892D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979F5"/>
    <w:multiLevelType w:val="multilevel"/>
    <w:tmpl w:val="2F86AB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5036D9F"/>
    <w:multiLevelType w:val="hybridMultilevel"/>
    <w:tmpl w:val="99CC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417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5" w15:restartNumberingAfterBreak="0">
    <w:nsid w:val="3F1D0C99"/>
    <w:multiLevelType w:val="hybridMultilevel"/>
    <w:tmpl w:val="0A34A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3C59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281131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7905F9"/>
    <w:multiLevelType w:val="hybridMultilevel"/>
    <w:tmpl w:val="9FE2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005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40C22C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AFD67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2" w15:restartNumberingAfterBreak="0">
    <w:nsid w:val="6209329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3C95931"/>
    <w:multiLevelType w:val="hybridMultilevel"/>
    <w:tmpl w:val="74428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6C1D36"/>
    <w:multiLevelType w:val="hybridMultilevel"/>
    <w:tmpl w:val="AFD8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D0547"/>
    <w:multiLevelType w:val="hybridMultilevel"/>
    <w:tmpl w:val="2B90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43D7E"/>
    <w:multiLevelType w:val="hybridMultilevel"/>
    <w:tmpl w:val="8F88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E500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98D59BE"/>
    <w:multiLevelType w:val="hybridMultilevel"/>
    <w:tmpl w:val="607604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6175D1"/>
    <w:multiLevelType w:val="hybridMultilevel"/>
    <w:tmpl w:val="225E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847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24"/>
  </w:num>
  <w:num w:numId="9">
    <w:abstractNumId w:val="7"/>
  </w:num>
  <w:num w:numId="10">
    <w:abstractNumId w:val="3"/>
  </w:num>
  <w:num w:numId="11">
    <w:abstractNumId w:val="11"/>
  </w:num>
  <w:num w:numId="12">
    <w:abstractNumId w:val="26"/>
  </w:num>
  <w:num w:numId="13">
    <w:abstractNumId w:val="8"/>
  </w:num>
  <w:num w:numId="14">
    <w:abstractNumId w:val="25"/>
  </w:num>
  <w:num w:numId="15">
    <w:abstractNumId w:val="18"/>
  </w:num>
  <w:num w:numId="16">
    <w:abstractNumId w:val="13"/>
  </w:num>
  <w:num w:numId="17">
    <w:abstractNumId w:val="28"/>
  </w:num>
  <w:num w:numId="18">
    <w:abstractNumId w:val="9"/>
  </w:num>
  <w:num w:numId="19">
    <w:abstractNumId w:val="30"/>
  </w:num>
  <w:num w:numId="20">
    <w:abstractNumId w:val="16"/>
  </w:num>
  <w:num w:numId="21">
    <w:abstractNumId w:val="1"/>
  </w:num>
  <w:num w:numId="22">
    <w:abstractNumId w:val="22"/>
  </w:num>
  <w:num w:numId="23">
    <w:abstractNumId w:val="20"/>
  </w:num>
  <w:num w:numId="24">
    <w:abstractNumId w:val="17"/>
  </w:num>
  <w:num w:numId="25">
    <w:abstractNumId w:val="0"/>
  </w:num>
  <w:num w:numId="26">
    <w:abstractNumId w:val="27"/>
  </w:num>
  <w:num w:numId="27">
    <w:abstractNumId w:val="15"/>
  </w:num>
  <w:num w:numId="28">
    <w:abstractNumId w:val="23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0"/>
  </w:num>
  <w:num w:numId="36">
    <w:abstractNumId w:val="2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CC"/>
    <w:rsid w:val="0001128D"/>
    <w:rsid w:val="00025566"/>
    <w:rsid w:val="000263B4"/>
    <w:rsid w:val="00026FCC"/>
    <w:rsid w:val="000411B6"/>
    <w:rsid w:val="00043FA5"/>
    <w:rsid w:val="0004751F"/>
    <w:rsid w:val="00053907"/>
    <w:rsid w:val="00067904"/>
    <w:rsid w:val="0007725F"/>
    <w:rsid w:val="0008646A"/>
    <w:rsid w:val="00094129"/>
    <w:rsid w:val="000A2411"/>
    <w:rsid w:val="000A5A70"/>
    <w:rsid w:val="000A6F87"/>
    <w:rsid w:val="000A79CE"/>
    <w:rsid w:val="000E0459"/>
    <w:rsid w:val="000E1731"/>
    <w:rsid w:val="000E535A"/>
    <w:rsid w:val="000F3DB0"/>
    <w:rsid w:val="00105B54"/>
    <w:rsid w:val="00106447"/>
    <w:rsid w:val="00107108"/>
    <w:rsid w:val="0012113D"/>
    <w:rsid w:val="00124073"/>
    <w:rsid w:val="00131CAF"/>
    <w:rsid w:val="00136ACB"/>
    <w:rsid w:val="0014462C"/>
    <w:rsid w:val="00156A5D"/>
    <w:rsid w:val="001668C9"/>
    <w:rsid w:val="001725CC"/>
    <w:rsid w:val="00192301"/>
    <w:rsid w:val="001957A5"/>
    <w:rsid w:val="00195EBE"/>
    <w:rsid w:val="001A0E81"/>
    <w:rsid w:val="001B50E8"/>
    <w:rsid w:val="001C081A"/>
    <w:rsid w:val="001E16AA"/>
    <w:rsid w:val="001F1037"/>
    <w:rsid w:val="00201792"/>
    <w:rsid w:val="002271ED"/>
    <w:rsid w:val="00234CB5"/>
    <w:rsid w:val="00235D80"/>
    <w:rsid w:val="00237F24"/>
    <w:rsid w:val="00246B56"/>
    <w:rsid w:val="00264A4B"/>
    <w:rsid w:val="00272BBB"/>
    <w:rsid w:val="00276FB8"/>
    <w:rsid w:val="00294343"/>
    <w:rsid w:val="00296CBE"/>
    <w:rsid w:val="002A7245"/>
    <w:rsid w:val="002C7D72"/>
    <w:rsid w:val="002D04D1"/>
    <w:rsid w:val="002D1B79"/>
    <w:rsid w:val="002E1D0C"/>
    <w:rsid w:val="002E5B25"/>
    <w:rsid w:val="002F1743"/>
    <w:rsid w:val="002F4629"/>
    <w:rsid w:val="002F4F04"/>
    <w:rsid w:val="00303C28"/>
    <w:rsid w:val="003066D3"/>
    <w:rsid w:val="00310B9D"/>
    <w:rsid w:val="00310C23"/>
    <w:rsid w:val="00313F6F"/>
    <w:rsid w:val="003202E7"/>
    <w:rsid w:val="0032052B"/>
    <w:rsid w:val="00322850"/>
    <w:rsid w:val="0032573A"/>
    <w:rsid w:val="00327039"/>
    <w:rsid w:val="003374D3"/>
    <w:rsid w:val="00343984"/>
    <w:rsid w:val="00345DFC"/>
    <w:rsid w:val="00351106"/>
    <w:rsid w:val="0035305F"/>
    <w:rsid w:val="003561C9"/>
    <w:rsid w:val="00391BAC"/>
    <w:rsid w:val="003972BB"/>
    <w:rsid w:val="003B12A1"/>
    <w:rsid w:val="003B47C8"/>
    <w:rsid w:val="003B65CC"/>
    <w:rsid w:val="003B79EF"/>
    <w:rsid w:val="003C3E95"/>
    <w:rsid w:val="003C489D"/>
    <w:rsid w:val="003E52BB"/>
    <w:rsid w:val="00400CAD"/>
    <w:rsid w:val="00440746"/>
    <w:rsid w:val="004436E1"/>
    <w:rsid w:val="00444772"/>
    <w:rsid w:val="004449B8"/>
    <w:rsid w:val="004471FF"/>
    <w:rsid w:val="0046210C"/>
    <w:rsid w:val="0046495D"/>
    <w:rsid w:val="004663BF"/>
    <w:rsid w:val="00470E2D"/>
    <w:rsid w:val="00472C66"/>
    <w:rsid w:val="004928A3"/>
    <w:rsid w:val="0049330E"/>
    <w:rsid w:val="00493673"/>
    <w:rsid w:val="004975F7"/>
    <w:rsid w:val="004A51CB"/>
    <w:rsid w:val="004A777B"/>
    <w:rsid w:val="004B6FE1"/>
    <w:rsid w:val="004C2833"/>
    <w:rsid w:val="004C37C6"/>
    <w:rsid w:val="004C569E"/>
    <w:rsid w:val="004C6B3C"/>
    <w:rsid w:val="004C6C10"/>
    <w:rsid w:val="004F32D1"/>
    <w:rsid w:val="004F7269"/>
    <w:rsid w:val="00514367"/>
    <w:rsid w:val="00515EA8"/>
    <w:rsid w:val="005461F8"/>
    <w:rsid w:val="00551A50"/>
    <w:rsid w:val="005532B7"/>
    <w:rsid w:val="00556E5D"/>
    <w:rsid w:val="0055700B"/>
    <w:rsid w:val="00557C12"/>
    <w:rsid w:val="0057093F"/>
    <w:rsid w:val="00580848"/>
    <w:rsid w:val="005937BA"/>
    <w:rsid w:val="00596F57"/>
    <w:rsid w:val="005A33EF"/>
    <w:rsid w:val="005B02E2"/>
    <w:rsid w:val="005B65F8"/>
    <w:rsid w:val="005B75B1"/>
    <w:rsid w:val="005C578E"/>
    <w:rsid w:val="005D1718"/>
    <w:rsid w:val="005E398A"/>
    <w:rsid w:val="0061460A"/>
    <w:rsid w:val="00622223"/>
    <w:rsid w:val="00625094"/>
    <w:rsid w:val="006262AD"/>
    <w:rsid w:val="00641283"/>
    <w:rsid w:val="00642034"/>
    <w:rsid w:val="00643A1D"/>
    <w:rsid w:val="00646A50"/>
    <w:rsid w:val="0065296E"/>
    <w:rsid w:val="00661F6A"/>
    <w:rsid w:val="006671F8"/>
    <w:rsid w:val="00681DA0"/>
    <w:rsid w:val="00683493"/>
    <w:rsid w:val="006A1669"/>
    <w:rsid w:val="006A1968"/>
    <w:rsid w:val="006A210E"/>
    <w:rsid w:val="006B09C2"/>
    <w:rsid w:val="006B0D7D"/>
    <w:rsid w:val="006B0E1C"/>
    <w:rsid w:val="006B2B56"/>
    <w:rsid w:val="006B36AF"/>
    <w:rsid w:val="006B7245"/>
    <w:rsid w:val="006C376F"/>
    <w:rsid w:val="006C58B2"/>
    <w:rsid w:val="006C7012"/>
    <w:rsid w:val="006D5358"/>
    <w:rsid w:val="006D6F09"/>
    <w:rsid w:val="006E1D15"/>
    <w:rsid w:val="006E259C"/>
    <w:rsid w:val="006F4C73"/>
    <w:rsid w:val="006F5FDC"/>
    <w:rsid w:val="00701E17"/>
    <w:rsid w:val="0071552E"/>
    <w:rsid w:val="0071630A"/>
    <w:rsid w:val="007307C8"/>
    <w:rsid w:val="00730968"/>
    <w:rsid w:val="00733D66"/>
    <w:rsid w:val="007364B4"/>
    <w:rsid w:val="00747640"/>
    <w:rsid w:val="00747C19"/>
    <w:rsid w:val="00755714"/>
    <w:rsid w:val="00780AC1"/>
    <w:rsid w:val="00780C7D"/>
    <w:rsid w:val="00787E3A"/>
    <w:rsid w:val="00796962"/>
    <w:rsid w:val="007A0565"/>
    <w:rsid w:val="007A0C4E"/>
    <w:rsid w:val="007A5A58"/>
    <w:rsid w:val="007D2C8D"/>
    <w:rsid w:val="007D398D"/>
    <w:rsid w:val="007D4169"/>
    <w:rsid w:val="007D44CE"/>
    <w:rsid w:val="007D7E8E"/>
    <w:rsid w:val="007E3F8E"/>
    <w:rsid w:val="007F15BE"/>
    <w:rsid w:val="00814832"/>
    <w:rsid w:val="008179E1"/>
    <w:rsid w:val="0083300D"/>
    <w:rsid w:val="00837E45"/>
    <w:rsid w:val="00843299"/>
    <w:rsid w:val="00845EAF"/>
    <w:rsid w:val="008470A2"/>
    <w:rsid w:val="00850CE6"/>
    <w:rsid w:val="00851A36"/>
    <w:rsid w:val="00853F1F"/>
    <w:rsid w:val="008830D5"/>
    <w:rsid w:val="008843FF"/>
    <w:rsid w:val="00887F13"/>
    <w:rsid w:val="008A1C87"/>
    <w:rsid w:val="008D392F"/>
    <w:rsid w:val="008D3F86"/>
    <w:rsid w:val="008D6B32"/>
    <w:rsid w:val="008E4271"/>
    <w:rsid w:val="008F380A"/>
    <w:rsid w:val="0090743A"/>
    <w:rsid w:val="00913D29"/>
    <w:rsid w:val="0092632F"/>
    <w:rsid w:val="00931339"/>
    <w:rsid w:val="00935F00"/>
    <w:rsid w:val="009367C5"/>
    <w:rsid w:val="009526B2"/>
    <w:rsid w:val="009562EC"/>
    <w:rsid w:val="00966962"/>
    <w:rsid w:val="00967B9F"/>
    <w:rsid w:val="00970653"/>
    <w:rsid w:val="00973E87"/>
    <w:rsid w:val="0097591A"/>
    <w:rsid w:val="00984DA3"/>
    <w:rsid w:val="009855FD"/>
    <w:rsid w:val="009C241E"/>
    <w:rsid w:val="009C5EA2"/>
    <w:rsid w:val="009C75FC"/>
    <w:rsid w:val="009D56EB"/>
    <w:rsid w:val="00A11D1E"/>
    <w:rsid w:val="00A13327"/>
    <w:rsid w:val="00A25ACB"/>
    <w:rsid w:val="00A33A56"/>
    <w:rsid w:val="00A40AAA"/>
    <w:rsid w:val="00A40EDF"/>
    <w:rsid w:val="00A509E6"/>
    <w:rsid w:val="00A51882"/>
    <w:rsid w:val="00A6058B"/>
    <w:rsid w:val="00A640B5"/>
    <w:rsid w:val="00A72C7F"/>
    <w:rsid w:val="00A7697B"/>
    <w:rsid w:val="00A8373B"/>
    <w:rsid w:val="00A84AA7"/>
    <w:rsid w:val="00A8568A"/>
    <w:rsid w:val="00A85EA4"/>
    <w:rsid w:val="00A91386"/>
    <w:rsid w:val="00AA1EC9"/>
    <w:rsid w:val="00AA41BC"/>
    <w:rsid w:val="00AB5A65"/>
    <w:rsid w:val="00AD560B"/>
    <w:rsid w:val="00AD74EB"/>
    <w:rsid w:val="00AE24DA"/>
    <w:rsid w:val="00B13275"/>
    <w:rsid w:val="00B153EE"/>
    <w:rsid w:val="00B163D6"/>
    <w:rsid w:val="00B17DD1"/>
    <w:rsid w:val="00B3164D"/>
    <w:rsid w:val="00B70BE2"/>
    <w:rsid w:val="00B72053"/>
    <w:rsid w:val="00B81019"/>
    <w:rsid w:val="00B848D9"/>
    <w:rsid w:val="00BA110D"/>
    <w:rsid w:val="00BC7129"/>
    <w:rsid w:val="00BC7894"/>
    <w:rsid w:val="00BD37ED"/>
    <w:rsid w:val="00BD4163"/>
    <w:rsid w:val="00BD4A5D"/>
    <w:rsid w:val="00BF53F9"/>
    <w:rsid w:val="00BF7D0E"/>
    <w:rsid w:val="00C04A43"/>
    <w:rsid w:val="00C07E65"/>
    <w:rsid w:val="00C1294A"/>
    <w:rsid w:val="00C21DEE"/>
    <w:rsid w:val="00C22B7B"/>
    <w:rsid w:val="00C34EAE"/>
    <w:rsid w:val="00C35F99"/>
    <w:rsid w:val="00C3607E"/>
    <w:rsid w:val="00C41F83"/>
    <w:rsid w:val="00C46103"/>
    <w:rsid w:val="00C53114"/>
    <w:rsid w:val="00C6458B"/>
    <w:rsid w:val="00C762E5"/>
    <w:rsid w:val="00C87138"/>
    <w:rsid w:val="00C90C26"/>
    <w:rsid w:val="00C93134"/>
    <w:rsid w:val="00CA4928"/>
    <w:rsid w:val="00CA5B8B"/>
    <w:rsid w:val="00CA5BD4"/>
    <w:rsid w:val="00CB3927"/>
    <w:rsid w:val="00CC7B7B"/>
    <w:rsid w:val="00CD047D"/>
    <w:rsid w:val="00CE19F5"/>
    <w:rsid w:val="00D11351"/>
    <w:rsid w:val="00D17AE8"/>
    <w:rsid w:val="00D25880"/>
    <w:rsid w:val="00D2722A"/>
    <w:rsid w:val="00D34641"/>
    <w:rsid w:val="00D34DD9"/>
    <w:rsid w:val="00D42C5E"/>
    <w:rsid w:val="00D53AF3"/>
    <w:rsid w:val="00D573BC"/>
    <w:rsid w:val="00D6461F"/>
    <w:rsid w:val="00D64C93"/>
    <w:rsid w:val="00D66A2D"/>
    <w:rsid w:val="00D76478"/>
    <w:rsid w:val="00D80313"/>
    <w:rsid w:val="00D83F87"/>
    <w:rsid w:val="00D86DCD"/>
    <w:rsid w:val="00D940A2"/>
    <w:rsid w:val="00DB1150"/>
    <w:rsid w:val="00DB1DFB"/>
    <w:rsid w:val="00DC5573"/>
    <w:rsid w:val="00DD05E2"/>
    <w:rsid w:val="00DD2A1E"/>
    <w:rsid w:val="00DD3B18"/>
    <w:rsid w:val="00DE5B4E"/>
    <w:rsid w:val="00DE7582"/>
    <w:rsid w:val="00E02550"/>
    <w:rsid w:val="00E0372F"/>
    <w:rsid w:val="00E0389F"/>
    <w:rsid w:val="00E03E0E"/>
    <w:rsid w:val="00E32741"/>
    <w:rsid w:val="00E34B0D"/>
    <w:rsid w:val="00E428FF"/>
    <w:rsid w:val="00E562F8"/>
    <w:rsid w:val="00E5724E"/>
    <w:rsid w:val="00E60CE2"/>
    <w:rsid w:val="00E66E0C"/>
    <w:rsid w:val="00E72B18"/>
    <w:rsid w:val="00E733CE"/>
    <w:rsid w:val="00E9121E"/>
    <w:rsid w:val="00E96502"/>
    <w:rsid w:val="00EA3C69"/>
    <w:rsid w:val="00EB625E"/>
    <w:rsid w:val="00ED1655"/>
    <w:rsid w:val="00EE09ED"/>
    <w:rsid w:val="00F017AD"/>
    <w:rsid w:val="00F25BB3"/>
    <w:rsid w:val="00F35553"/>
    <w:rsid w:val="00F42BE7"/>
    <w:rsid w:val="00F441E8"/>
    <w:rsid w:val="00F444F2"/>
    <w:rsid w:val="00F7799B"/>
    <w:rsid w:val="00F8148F"/>
    <w:rsid w:val="00F83DDD"/>
    <w:rsid w:val="00FC1FA9"/>
    <w:rsid w:val="00FC50DD"/>
    <w:rsid w:val="00FD21B8"/>
    <w:rsid w:val="00FD4411"/>
    <w:rsid w:val="00FE2F8A"/>
    <w:rsid w:val="00FE6AC8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F087E"/>
  <w15:docId w15:val="{ADD9C9E2-1E2E-449D-829D-FDD5DEA4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MyNormal"/>
    <w:qFormat/>
    <w:rsid w:val="00AD560B"/>
    <w:pPr>
      <w:ind w:firstLine="360"/>
    </w:pPr>
  </w:style>
  <w:style w:type="paragraph" w:styleId="Heading1">
    <w:name w:val="heading 1"/>
    <w:aliases w:val="MyHeading 1"/>
    <w:basedOn w:val="NoSpacing"/>
    <w:next w:val="NoSpacing"/>
    <w:link w:val="Heading1Char"/>
    <w:qFormat/>
    <w:rsid w:val="00AD560B"/>
    <w:pPr>
      <w:keepNext/>
      <w:keepLines/>
      <w:numPr>
        <w:numId w:val="29"/>
      </w:numPr>
      <w:spacing w:before="480"/>
      <w:contextualSpacing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Heading2">
    <w:name w:val="heading 2"/>
    <w:aliases w:val="MyHeading 2"/>
    <w:basedOn w:val="Normal"/>
    <w:next w:val="Normal"/>
    <w:link w:val="Heading2Char"/>
    <w:unhideWhenUsed/>
    <w:qFormat/>
    <w:rsid w:val="004F7269"/>
    <w:pPr>
      <w:keepNext/>
      <w:keepLines/>
      <w:numPr>
        <w:ilvl w:val="1"/>
        <w:numId w:val="29"/>
      </w:numPr>
      <w:spacing w:before="200"/>
      <w:contextualSpacing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styleId="Heading3">
    <w:name w:val="heading 3"/>
    <w:aliases w:val="MyHeading 3"/>
    <w:basedOn w:val="Normal"/>
    <w:next w:val="Normal"/>
    <w:link w:val="Heading3Char"/>
    <w:unhideWhenUsed/>
    <w:qFormat/>
    <w:rsid w:val="00580848"/>
    <w:pPr>
      <w:keepNext/>
      <w:keepLines/>
      <w:numPr>
        <w:ilvl w:val="2"/>
        <w:numId w:val="29"/>
      </w:numPr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28FF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8FF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28FF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28FF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8FF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28FF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MyCaption"/>
    <w:basedOn w:val="Normal"/>
    <w:next w:val="Normal"/>
    <w:qFormat/>
    <w:rsid w:val="00E02550"/>
    <w:pPr>
      <w:keepNext/>
      <w:spacing w:after="120"/>
      <w:ind w:left="2880" w:hanging="2880"/>
      <w:jc w:val="center"/>
    </w:pPr>
    <w:rPr>
      <w:b/>
      <w:bCs/>
      <w:color w:val="17365D" w:themeColor="text2" w:themeShade="BF"/>
    </w:rPr>
  </w:style>
  <w:style w:type="table" w:styleId="TableGrid">
    <w:name w:val="Table Grid"/>
    <w:basedOn w:val="TableNormal"/>
    <w:rsid w:val="00E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E8"/>
    <w:rPr>
      <w:sz w:val="24"/>
      <w:szCs w:val="24"/>
    </w:rPr>
  </w:style>
  <w:style w:type="paragraph" w:styleId="Footer">
    <w:name w:val="footer"/>
    <w:basedOn w:val="Normal"/>
    <w:link w:val="FooterChar"/>
    <w:rsid w:val="00D1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AE8"/>
    <w:rPr>
      <w:sz w:val="24"/>
      <w:szCs w:val="24"/>
    </w:rPr>
  </w:style>
  <w:style w:type="paragraph" w:styleId="BalloonText">
    <w:name w:val="Balloon Text"/>
    <w:basedOn w:val="Normal"/>
    <w:link w:val="BalloonTextChar"/>
    <w:rsid w:val="0051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3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MyHeading 2 Char"/>
    <w:basedOn w:val="DefaultParagraphFont"/>
    <w:link w:val="Heading2"/>
    <w:rsid w:val="004F7269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Heading3Char">
    <w:name w:val="Heading 3 Char"/>
    <w:aliases w:val="MyHeading 3 Char"/>
    <w:basedOn w:val="DefaultParagraphFont"/>
    <w:link w:val="Heading3"/>
    <w:rsid w:val="00580848"/>
    <w:rPr>
      <w:rFonts w:asciiTheme="majorHAnsi" w:eastAsiaTheme="majorEastAsia" w:hAnsiTheme="majorHAnsi" w:cstheme="majorBidi"/>
      <w:bCs/>
      <w:color w:val="000000" w:themeColor="text1"/>
      <w:sz w:val="24"/>
      <w:szCs w:val="24"/>
    </w:rPr>
  </w:style>
  <w:style w:type="character" w:customStyle="1" w:styleId="Heading1Char">
    <w:name w:val="Heading 1 Char"/>
    <w:aliases w:val="MyHeading 1 Char"/>
    <w:basedOn w:val="DefaultParagraphFont"/>
    <w:link w:val="Heading1"/>
    <w:rsid w:val="00AD560B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E42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9562E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42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42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8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6461F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1A52EDBAF90458BAED06AD9B5835A" ma:contentTypeVersion="7" ma:contentTypeDescription="Create a new document." ma:contentTypeScope="" ma:versionID="8d5894b4d5d7f2555a4066a0b8a6e14c">
  <xsd:schema xmlns:xsd="http://www.w3.org/2001/XMLSchema" xmlns:xs="http://www.w3.org/2001/XMLSchema" xmlns:p="http://schemas.microsoft.com/office/2006/metadata/properties" xmlns:ns3="12785b64-6357-49ae-9409-49128930aaa6" xmlns:ns4="f13e6246-cd4f-4864-b192-e7c6c15d242f" targetNamespace="http://schemas.microsoft.com/office/2006/metadata/properties" ma:root="true" ma:fieldsID="6da19eece9460fd3baf9341b3156d241" ns3:_="" ns4:_="">
    <xsd:import namespace="12785b64-6357-49ae-9409-49128930aaa6"/>
    <xsd:import namespace="f13e6246-cd4f-4864-b192-e7c6c15d24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5b64-6357-49ae-9409-49128930a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e6246-cd4f-4864-b192-e7c6c15d2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211EE-63B0-4A66-A830-6C537AE14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D1F4AF-30E8-48E9-B495-DF4562AF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388C7-1F95-4CC2-B34A-2EE69A9836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88B79-BC31-45C2-86D4-CD8A4ED60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85b64-6357-49ae-9409-49128930aaa6"/>
    <ds:schemaRef ds:uri="f13e6246-cd4f-4864-b192-e7c6c15d2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Ligo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Richard Abbott</dc:creator>
  <cp:lastModifiedBy>Abbott, Richard</cp:lastModifiedBy>
  <cp:revision>6</cp:revision>
  <cp:lastPrinted>2021-03-03T21:43:00Z</cp:lastPrinted>
  <dcterms:created xsi:type="dcterms:W3CDTF">2021-03-03T21:40:00Z</dcterms:created>
  <dcterms:modified xsi:type="dcterms:W3CDTF">2021-03-03T21:43:00Z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0x010100D8B1A52EDBAF90458BAED06AD9B5835A</vt:lpwstr>
  </property>
</Properties>
</file>