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20" w:type="dxa"/>
        <w:jc w:val="left"/>
        <w:tblInd w:w="109" w:type="dxa"/>
        <w:tblCellMar>
          <w:top w:w="0" w:type="dxa"/>
          <w:left w:w="108" w:type="dxa"/>
          <w:bottom w:w="0" w:type="dxa"/>
          <w:right w:w="108" w:type="dxa"/>
        </w:tblCellMar>
        <w:tblLook w:val="0000" w:noHBand="0" w:noVBand="0" w:firstColumn="0" w:lastRow="0" w:lastColumn="0" w:firstRow="0"/>
      </w:tblPr>
      <w:tblGrid>
        <w:gridCol w:w="2520"/>
        <w:gridCol w:w="2610"/>
        <w:gridCol w:w="1080"/>
        <w:gridCol w:w="1440"/>
        <w:gridCol w:w="990"/>
        <w:gridCol w:w="1079"/>
      </w:tblGrid>
      <w:tr>
        <w:trPr>
          <w:cantSplit w:val="true"/>
        </w:trPr>
        <w:tc>
          <w:tcPr>
            <w:tcW w:w="2520" w:type="dxa"/>
            <w:vMerge w:val="restart"/>
            <w:tcBorders>
              <w:top w:val="single" w:sz="18" w:space="0" w:color="000000"/>
              <w:left w:val="single" w:sz="4" w:space="0" w:color="000000"/>
              <w:bottom w:val="single" w:sz="4" w:space="0" w:color="000000"/>
              <w:right w:val="single" w:sz="18" w:space="0" w:color="000000"/>
            </w:tcBorders>
          </w:tcPr>
          <w:p>
            <w:pPr>
              <w:pStyle w:val="Normal"/>
              <w:jc w:val="center"/>
              <w:rPr>
                <w:rFonts w:ascii="Arial Narrow" w:hAnsi="Arial Narrow"/>
                <w:b/>
                <w:b/>
              </w:rPr>
            </w:pPr>
            <w:r>
              <w:rPr>
                <w:rFonts w:ascii="Arial Narrow" w:hAnsi="Arial Narrow"/>
                <w:b/>
              </w:rPr>
            </w:r>
          </w:p>
          <w:p>
            <w:pPr>
              <w:pStyle w:val="Normal"/>
              <w:jc w:val="center"/>
              <w:rPr>
                <w:rFonts w:ascii="Arial Narrow" w:hAnsi="Arial Narrow"/>
                <w:b/>
                <w:b/>
              </w:rPr>
            </w:pPr>
            <w:r>
              <w:rPr>
                <w:rFonts w:ascii="Arial Narrow" w:hAnsi="Arial Narrow"/>
                <w:b/>
              </w:rPr>
              <w:t>AUTHOR:</w:t>
            </w:r>
          </w:p>
        </w:tc>
        <w:tc>
          <w:tcPr>
            <w:tcW w:w="2610" w:type="dxa"/>
            <w:vMerge w:val="restart"/>
            <w:tcBorders>
              <w:top w:val="single" w:sz="18" w:space="0" w:color="000000"/>
              <w:left w:val="single" w:sz="18" w:space="0" w:color="000000"/>
              <w:bottom w:val="single" w:sz="4" w:space="0" w:color="000000"/>
              <w:right w:val="single" w:sz="18" w:space="0" w:color="000000"/>
            </w:tcBorders>
          </w:tcPr>
          <w:p>
            <w:pPr>
              <w:pStyle w:val="Normal"/>
              <w:jc w:val="center"/>
              <w:rPr>
                <w:rFonts w:ascii="Arial Narrow" w:hAnsi="Arial Narrow"/>
                <w:b/>
                <w:b/>
              </w:rPr>
            </w:pPr>
            <w:r>
              <w:rPr>
                <w:rFonts w:ascii="Arial Narrow" w:hAnsi="Arial Narrow"/>
                <w:b/>
              </w:rPr>
              <w:t xml:space="preserve"> </w:t>
            </w:r>
          </w:p>
          <w:p>
            <w:pPr>
              <w:pStyle w:val="Normal"/>
              <w:jc w:val="center"/>
              <w:rPr>
                <w:rFonts w:ascii="Arial Narrow" w:hAnsi="Arial Narrow"/>
                <w:b/>
                <w:b/>
              </w:rPr>
            </w:pPr>
            <w:r>
              <w:rPr>
                <w:rFonts w:ascii="Arial Narrow" w:hAnsi="Arial Narrow"/>
                <w:b/>
              </w:rPr>
              <w:t>CHECKED:</w:t>
            </w:r>
          </w:p>
        </w:tc>
        <w:tc>
          <w:tcPr>
            <w:tcW w:w="1080" w:type="dxa"/>
            <w:vMerge w:val="restart"/>
            <w:tcBorders>
              <w:top w:val="single" w:sz="18" w:space="0" w:color="000000"/>
              <w:left w:val="single" w:sz="18" w:space="0" w:color="000000"/>
              <w:bottom w:val="single" w:sz="4" w:space="0" w:color="000000"/>
            </w:tcBorders>
          </w:tcPr>
          <w:p>
            <w:pPr>
              <w:pStyle w:val="Normal"/>
              <w:rPr>
                <w:rFonts w:ascii="Arial Narrow" w:hAnsi="Arial Narrow"/>
                <w:b/>
                <w:b/>
              </w:rPr>
            </w:pPr>
            <w:r>
              <w:rPr>
                <w:rFonts w:ascii="Arial Narrow" w:hAnsi="Arial Narrow"/>
                <w:b/>
              </w:rPr>
              <w:t xml:space="preserve"> </w:t>
            </w:r>
          </w:p>
          <w:p>
            <w:pPr>
              <w:pStyle w:val="Normal"/>
              <w:rPr>
                <w:rFonts w:ascii="Arial Narrow" w:hAnsi="Arial Narrow"/>
                <w:b/>
                <w:b/>
              </w:rPr>
            </w:pPr>
            <w:r>
              <w:rPr>
                <w:rFonts w:ascii="Arial Narrow" w:hAnsi="Arial Narrow"/>
                <w:b/>
              </w:rPr>
              <w:t>DATE</w:t>
            </w:r>
          </w:p>
        </w:tc>
        <w:tc>
          <w:tcPr>
            <w:tcW w:w="3509" w:type="dxa"/>
            <w:gridSpan w:val="3"/>
            <w:tcBorders>
              <w:top w:val="single" w:sz="18" w:space="0" w:color="000000"/>
              <w:left w:val="single" w:sz="18" w:space="0" w:color="000000"/>
              <w:bottom w:val="single" w:sz="4" w:space="0" w:color="000000"/>
              <w:right w:val="single" w:sz="4" w:space="0" w:color="000000"/>
            </w:tcBorders>
          </w:tcPr>
          <w:p>
            <w:pPr>
              <w:pStyle w:val="Normal"/>
              <w:jc w:val="center"/>
              <w:rPr>
                <w:rFonts w:ascii="Arial Narrow" w:hAnsi="Arial Narrow"/>
                <w:b/>
                <w:b/>
              </w:rPr>
            </w:pPr>
            <w:r>
              <w:rPr>
                <w:rFonts w:ascii="Arial Narrow" w:hAnsi="Arial Narrow"/>
                <w:b/>
              </w:rPr>
              <w:t>APPROVALS</w:t>
            </w:r>
          </w:p>
        </w:tc>
      </w:tr>
      <w:tr>
        <w:trPr>
          <w:cantSplit w:val="true"/>
        </w:trPr>
        <w:tc>
          <w:tcPr>
            <w:tcW w:w="2520" w:type="dxa"/>
            <w:vMerge w:val="continue"/>
            <w:tcBorders>
              <w:top w:val="single" w:sz="4" w:space="0" w:color="000000"/>
              <w:left w:val="single" w:sz="4" w:space="0" w:color="000000"/>
              <w:bottom w:val="single" w:sz="4" w:space="0" w:color="000000"/>
              <w:right w:val="single" w:sz="18" w:space="0" w:color="000000"/>
            </w:tcBorders>
          </w:tcPr>
          <w:p>
            <w:pPr>
              <w:pStyle w:val="Normal"/>
              <w:jc w:val="center"/>
              <w:rPr>
                <w:rFonts w:ascii="Arial Narrow" w:hAnsi="Arial Narrow"/>
                <w:b/>
                <w:b/>
              </w:rPr>
            </w:pPr>
            <w:r>
              <w:rPr>
                <w:rFonts w:ascii="Arial Narrow" w:hAnsi="Arial Narrow"/>
                <w:b/>
              </w:rPr>
            </w:r>
          </w:p>
        </w:tc>
        <w:tc>
          <w:tcPr>
            <w:tcW w:w="2610" w:type="dxa"/>
            <w:vMerge w:val="continue"/>
            <w:tcBorders>
              <w:top w:val="single" w:sz="4" w:space="0" w:color="000000"/>
              <w:left w:val="single" w:sz="18" w:space="0" w:color="000000"/>
              <w:bottom w:val="single" w:sz="4" w:space="0" w:color="000000"/>
              <w:right w:val="single" w:sz="18" w:space="0" w:color="000000"/>
            </w:tcBorders>
          </w:tcPr>
          <w:p>
            <w:pPr>
              <w:pStyle w:val="Normal"/>
              <w:rPr>
                <w:rFonts w:ascii="Arial Narrow" w:hAnsi="Arial Narrow"/>
                <w:b/>
                <w:b/>
              </w:rPr>
            </w:pPr>
            <w:r>
              <w:rPr>
                <w:rFonts w:ascii="Arial Narrow" w:hAnsi="Arial Narrow"/>
                <w:b/>
              </w:rPr>
            </w:r>
          </w:p>
        </w:tc>
        <w:tc>
          <w:tcPr>
            <w:tcW w:w="1080" w:type="dxa"/>
            <w:vMerge w:val="continue"/>
            <w:tcBorders>
              <w:top w:val="single" w:sz="4" w:space="0" w:color="000000"/>
              <w:left w:val="single" w:sz="18" w:space="0" w:color="000000"/>
              <w:bottom w:val="single" w:sz="4" w:space="0" w:color="000000"/>
            </w:tcBorders>
          </w:tcPr>
          <w:p>
            <w:pPr>
              <w:pStyle w:val="Normal"/>
              <w:rPr>
                <w:rFonts w:ascii="Arial Narrow" w:hAnsi="Arial Narrow"/>
                <w:b/>
                <w:b/>
              </w:rPr>
            </w:pPr>
            <w:r>
              <w:rPr>
                <w:rFonts w:ascii="Arial Narrow" w:hAnsi="Arial Narrow"/>
                <w:b/>
              </w:rPr>
            </w:r>
          </w:p>
        </w:tc>
        <w:tc>
          <w:tcPr>
            <w:tcW w:w="1440" w:type="dxa"/>
            <w:tcBorders>
              <w:top w:val="single" w:sz="4" w:space="0" w:color="000000"/>
              <w:left w:val="single" w:sz="18" w:space="0" w:color="000000"/>
              <w:bottom w:val="single" w:sz="4" w:space="0" w:color="000000"/>
              <w:right w:val="single" w:sz="18" w:space="0" w:color="000000"/>
            </w:tcBorders>
          </w:tcPr>
          <w:p>
            <w:pPr>
              <w:pStyle w:val="Normal"/>
              <w:rPr>
                <w:rFonts w:ascii="Arial Narrow" w:hAnsi="Arial Narrow"/>
                <w:b/>
                <w:b/>
              </w:rPr>
            </w:pPr>
            <w:r>
              <w:rPr>
                <w:rFonts w:ascii="Arial Narrow" w:hAnsi="Arial Narrow"/>
                <w:b/>
              </w:rPr>
              <w:t xml:space="preserve">DCN NO. </w:t>
            </w:r>
          </w:p>
        </w:tc>
        <w:tc>
          <w:tcPr>
            <w:tcW w:w="990" w:type="dxa"/>
            <w:tcBorders>
              <w:top w:val="single" w:sz="4" w:space="0" w:color="000000"/>
              <w:left w:val="single" w:sz="18" w:space="0" w:color="000000"/>
              <w:bottom w:val="single" w:sz="4" w:space="0" w:color="000000"/>
              <w:right w:val="single" w:sz="18" w:space="0" w:color="000000"/>
            </w:tcBorders>
          </w:tcPr>
          <w:p>
            <w:pPr>
              <w:pStyle w:val="Normal"/>
              <w:rPr>
                <w:rFonts w:ascii="Arial Narrow" w:hAnsi="Arial Narrow"/>
                <w:b/>
                <w:b/>
              </w:rPr>
            </w:pPr>
            <w:r>
              <w:rPr>
                <w:rFonts w:ascii="Arial Narrow" w:hAnsi="Arial Narrow"/>
                <w:b/>
              </w:rPr>
              <w:t>REV</w:t>
            </w:r>
          </w:p>
        </w:tc>
        <w:tc>
          <w:tcPr>
            <w:tcW w:w="1079" w:type="dxa"/>
            <w:tcBorders>
              <w:top w:val="single" w:sz="4" w:space="0" w:color="000000"/>
              <w:left w:val="single" w:sz="18" w:space="0" w:color="000000"/>
              <w:bottom w:val="single" w:sz="4" w:space="0" w:color="000000"/>
              <w:right w:val="single" w:sz="4" w:space="0" w:color="000000"/>
            </w:tcBorders>
          </w:tcPr>
          <w:p>
            <w:pPr>
              <w:pStyle w:val="Normal"/>
              <w:rPr>
                <w:rFonts w:ascii="Arial Narrow" w:hAnsi="Arial Narrow"/>
                <w:b/>
                <w:b/>
              </w:rPr>
            </w:pPr>
            <w:r>
              <w:rPr>
                <w:rFonts w:ascii="Arial Narrow" w:hAnsi="Arial Narrow"/>
                <w:b/>
              </w:rPr>
              <w:t>DATE</w:t>
            </w:r>
          </w:p>
        </w:tc>
      </w:tr>
      <w:tr>
        <w:trPr>
          <w:cantSplit w:val="true"/>
        </w:trPr>
        <w:tc>
          <w:tcPr>
            <w:tcW w:w="2520" w:type="dxa"/>
            <w:tcBorders>
              <w:top w:val="single" w:sz="4" w:space="0" w:color="000000"/>
              <w:left w:val="single" w:sz="4" w:space="0" w:color="000000"/>
              <w:bottom w:val="single" w:sz="18" w:space="0" w:color="000000"/>
              <w:right w:val="single" w:sz="18" w:space="0" w:color="000000"/>
            </w:tcBorders>
          </w:tcPr>
          <w:p>
            <w:pPr>
              <w:pStyle w:val="Footer"/>
              <w:tabs>
                <w:tab w:val="clear" w:pos="4320"/>
                <w:tab w:val="clear" w:pos="8640"/>
              </w:tabs>
              <w:rPr>
                <w:rFonts w:ascii="Arial Narrow" w:hAnsi="Arial Narrow"/>
                <w:b/>
                <w:b/>
              </w:rPr>
            </w:pPr>
            <w:r>
              <w:rPr>
                <w:rFonts w:ascii="Arial Narrow" w:hAnsi="Arial Narrow"/>
                <w:b/>
              </w:rPr>
              <w:t>See DCN for approvals</w:t>
            </w:r>
          </w:p>
        </w:tc>
        <w:tc>
          <w:tcPr>
            <w:tcW w:w="2610" w:type="dxa"/>
            <w:tcBorders>
              <w:top w:val="single" w:sz="4" w:space="0" w:color="000000"/>
              <w:left w:val="single" w:sz="18" w:space="0" w:color="000000"/>
              <w:bottom w:val="single" w:sz="18" w:space="0" w:color="000000"/>
              <w:right w:val="single" w:sz="18" w:space="0" w:color="000000"/>
            </w:tcBorders>
          </w:tcPr>
          <w:p>
            <w:pPr>
              <w:pStyle w:val="Footer"/>
              <w:tabs>
                <w:tab w:val="clear" w:pos="4320"/>
                <w:tab w:val="clear" w:pos="8640"/>
              </w:tabs>
              <w:rPr>
                <w:rFonts w:ascii="Arial Narrow" w:hAnsi="Arial Narrow"/>
                <w:b/>
                <w:b/>
              </w:rPr>
            </w:pPr>
            <w:r>
              <w:rPr>
                <w:rFonts w:ascii="Arial Narrow" w:hAnsi="Arial Narrow"/>
                <w:b/>
              </w:rPr>
            </w:r>
          </w:p>
        </w:tc>
        <w:tc>
          <w:tcPr>
            <w:tcW w:w="1080" w:type="dxa"/>
            <w:tcBorders>
              <w:top w:val="single" w:sz="4" w:space="0" w:color="000000"/>
              <w:left w:val="single" w:sz="18" w:space="0" w:color="000000"/>
              <w:bottom w:val="single" w:sz="18" w:space="0" w:color="000000"/>
            </w:tcBorders>
          </w:tcPr>
          <w:p>
            <w:pPr>
              <w:pStyle w:val="Normal"/>
              <w:rPr>
                <w:b/>
                <w:b/>
                <w:sz w:val="18"/>
                <w:szCs w:val="18"/>
              </w:rPr>
            </w:pPr>
            <w:r>
              <w:rPr>
                <w:b/>
                <w:sz w:val="18"/>
                <w:szCs w:val="18"/>
              </w:rPr>
            </w:r>
          </w:p>
        </w:tc>
        <w:tc>
          <w:tcPr>
            <w:tcW w:w="1440" w:type="dxa"/>
            <w:tcBorders>
              <w:top w:val="single" w:sz="4" w:space="0" w:color="000000"/>
              <w:left w:val="single" w:sz="18" w:space="0" w:color="000000"/>
              <w:bottom w:val="single" w:sz="18" w:space="0" w:color="000000"/>
              <w:right w:val="single" w:sz="18" w:space="0" w:color="000000"/>
            </w:tcBorders>
          </w:tcPr>
          <w:p>
            <w:pPr>
              <w:pStyle w:val="Normal"/>
              <w:rPr>
                <w:b/>
                <w:b/>
              </w:rPr>
            </w:pPr>
            <w:r>
              <w:rPr>
                <w:b/>
              </w:rPr>
            </w:r>
          </w:p>
        </w:tc>
        <w:tc>
          <w:tcPr>
            <w:tcW w:w="990" w:type="dxa"/>
            <w:tcBorders>
              <w:top w:val="single" w:sz="4" w:space="0" w:color="000000"/>
              <w:left w:val="single" w:sz="18" w:space="0" w:color="000000"/>
              <w:bottom w:val="single" w:sz="18" w:space="0" w:color="000000"/>
              <w:right w:val="single" w:sz="18" w:space="0" w:color="000000"/>
            </w:tcBorders>
          </w:tcPr>
          <w:p>
            <w:pPr>
              <w:pStyle w:val="Normal"/>
              <w:rPr>
                <w:b/>
                <w:b/>
                <w:color w:val="000000"/>
              </w:rPr>
            </w:pPr>
            <w:r>
              <w:rPr>
                <w:b/>
                <w:color w:val="000000"/>
              </w:rPr>
            </w:r>
          </w:p>
        </w:tc>
        <w:tc>
          <w:tcPr>
            <w:tcW w:w="1079" w:type="dxa"/>
            <w:tcBorders>
              <w:top w:val="single" w:sz="4" w:space="0" w:color="000000"/>
              <w:left w:val="single" w:sz="18" w:space="0" w:color="000000"/>
              <w:bottom w:val="single" w:sz="18" w:space="0" w:color="000000"/>
              <w:right w:val="single" w:sz="4" w:space="0" w:color="000000"/>
            </w:tcBorders>
          </w:tcPr>
          <w:p>
            <w:pPr>
              <w:pStyle w:val="Normal"/>
              <w:rPr>
                <w:b/>
                <w:b/>
              </w:rPr>
            </w:pPr>
            <w:r>
              <w:rPr>
                <w:b/>
              </w:rPr>
            </w:r>
          </w:p>
        </w:tc>
      </w:tr>
    </w:tbl>
    <w:p>
      <w:pPr>
        <w:pStyle w:val="Default"/>
        <w:spacing w:before="280" w:after="120"/>
        <w:rPr/>
      </w:pPr>
      <w:r>
        <w:rPr/>
      </w:r>
    </w:p>
    <w:tbl>
      <w:tblPr>
        <w:tblW w:w="9720" w:type="dxa"/>
        <w:jc w:val="left"/>
        <w:tblInd w:w="109" w:type="dxa"/>
        <w:tblCellMar>
          <w:top w:w="0" w:type="dxa"/>
          <w:left w:w="108" w:type="dxa"/>
          <w:bottom w:w="0" w:type="dxa"/>
          <w:right w:w="108" w:type="dxa"/>
        </w:tblCellMar>
        <w:tblLook w:val="0000" w:noHBand="0" w:noVBand="0" w:firstColumn="0" w:lastRow="0" w:lastColumn="0" w:firstRow="0"/>
      </w:tblPr>
      <w:tblGrid>
        <w:gridCol w:w="3883"/>
        <w:gridCol w:w="5836"/>
      </w:tblGrid>
      <w:tr>
        <w:trPr>
          <w:trHeight w:val="375" w:hRule="atLeast"/>
        </w:trPr>
        <w:tc>
          <w:tcPr>
            <w:tcW w:w="3883" w:type="dxa"/>
            <w:tcBorders>
              <w:top w:val="double" w:sz="6" w:space="0" w:color="000000"/>
              <w:left w:val="double" w:sz="6" w:space="0" w:color="000000"/>
              <w:bottom w:val="single" w:sz="6" w:space="0" w:color="000000"/>
              <w:right w:val="single" w:sz="6" w:space="0" w:color="000000"/>
            </w:tcBorders>
            <w:shd w:color="auto" w:fill="auto" w:val="clear"/>
          </w:tcPr>
          <w:p>
            <w:pPr>
              <w:pStyle w:val="Normal"/>
              <w:rPr>
                <w:b/>
                <w:b/>
                <w:bCs/>
                <w:sz w:val="28"/>
                <w:szCs w:val="28"/>
              </w:rPr>
            </w:pPr>
            <w:r>
              <w:rPr>
                <w:b/>
                <w:bCs/>
                <w:sz w:val="28"/>
                <w:szCs w:val="28"/>
              </w:rPr>
              <w:t>Type</w:t>
            </w:r>
          </w:p>
        </w:tc>
        <w:tc>
          <w:tcPr>
            <w:tcW w:w="5836" w:type="dxa"/>
            <w:tcBorders>
              <w:top w:val="double" w:sz="6" w:space="0" w:color="000000"/>
              <w:left w:val="single" w:sz="6" w:space="0" w:color="000000"/>
              <w:bottom w:val="single" w:sz="6" w:space="0" w:color="000000"/>
              <w:right w:val="double" w:sz="6" w:space="0" w:color="000000"/>
            </w:tcBorders>
            <w:shd w:color="auto" w:fill="auto" w:val="clear"/>
          </w:tcPr>
          <w:p>
            <w:pPr>
              <w:pStyle w:val="Normal"/>
              <w:rPr>
                <w:b/>
                <w:b/>
                <w:bCs/>
                <w:sz w:val="28"/>
                <w:szCs w:val="28"/>
              </w:rPr>
            </w:pPr>
            <w:r>
              <w:rPr>
                <w:b/>
                <w:bCs/>
                <w:sz w:val="28"/>
                <w:szCs w:val="28"/>
              </w:rPr>
              <w:t>BBS</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w:t>
            </w:r>
          </w:p>
        </w:tc>
      </w:tr>
      <w:tr>
        <w:trPr>
          <w:trHeight w:val="37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8"/>
                <w:szCs w:val="28"/>
              </w:rPr>
            </w:pPr>
            <w:r>
              <w:rPr>
                <w:b/>
                <w:bCs/>
                <w:sz w:val="28"/>
                <w:szCs w:val="28"/>
              </w:rPr>
              <w:t>Applicable Documents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Blank Specification</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E1900150-v1</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Polish Specification</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E1900151-v1</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Polish Drawing (Fabricate from)</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D1900151-v2</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w:t>
            </w:r>
          </w:p>
        </w:tc>
      </w:tr>
      <w:tr>
        <w:trPr>
          <w:trHeight w:val="37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8"/>
                <w:szCs w:val="28"/>
              </w:rPr>
            </w:pPr>
            <w:r>
              <w:rPr>
                <w:b/>
                <w:bCs/>
                <w:sz w:val="28"/>
                <w:szCs w:val="28"/>
              </w:rPr>
              <w:t>General to Surfaces 1 &amp; 2</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w:t>
            </w:r>
          </w:p>
        </w:tc>
      </w:tr>
      <w:tr>
        <w:trPr>
          <w:trHeight w:val="113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Figure Change Before / After Coating</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Over a 250 mm diameter aperture, coating uniformity &amp; stress from the coating process shall not change the Sagitta more than 10 nanometers, and shall not add surface figure Zernike terms higher than second order with amplitude &gt; 0.5 nanometers. </w:t>
            </w:r>
          </w:p>
          <w:p>
            <w:pPr>
              <w:pStyle w:val="Normal"/>
              <w:rPr>
                <w:sz w:val="24"/>
                <w:szCs w:val="24"/>
              </w:rPr>
            </w:pPr>
            <w:r>
              <w:rPr>
                <w:sz w:val="24"/>
                <w:szCs w:val="24"/>
              </w:rPr>
            </w:r>
          </w:p>
          <w:p>
            <w:pPr>
              <w:pStyle w:val="Normal"/>
              <w:rPr>
                <w:sz w:val="24"/>
                <w:szCs w:val="24"/>
              </w:rPr>
            </w:pPr>
            <w:r>
              <w:rPr>
                <w:sz w:val="24"/>
                <w:szCs w:val="24"/>
              </w:rPr>
              <w:t xml:space="preserve">Confirming measurements are to be made on both sides of the optic, by the coating vendor, and need to be demonstrated only once, on a single part, unless there has been significant reconfiguration of the coating tool. </w:t>
            </w:r>
          </w:p>
          <w:p>
            <w:pPr>
              <w:pStyle w:val="Normal"/>
              <w:rPr>
                <w:sz w:val="24"/>
                <w:szCs w:val="24"/>
              </w:rPr>
            </w:pPr>
            <w:r>
              <w:rPr>
                <w:sz w:val="24"/>
                <w:szCs w:val="24"/>
              </w:rPr>
            </w:r>
          </w:p>
          <w:p>
            <w:pPr>
              <w:pStyle w:val="Normal"/>
              <w:rPr>
                <w:sz w:val="24"/>
                <w:szCs w:val="24"/>
              </w:rPr>
            </w:pPr>
            <w:r>
              <w:rPr>
                <w:sz w:val="24"/>
                <w:szCs w:val="24"/>
              </w:rPr>
              <w:t>The vendor is responsible for communicating that there has been such a change to the tool, and must repeat the confirming measurements.</w:t>
            </w:r>
          </w:p>
        </w:tc>
      </w:tr>
      <w:tr>
        <w:trPr>
          <w:trHeight w:val="113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Optical Performance Uniformity</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On both surfaces, the specified single surface reflectance or transmittances at the specified wavelengths must be maintained over a 250 mm diameter aperture. </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Coating Deposition Method</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Ion Beam Sputtered</w:t>
            </w:r>
          </w:p>
          <w:p>
            <w:pPr>
              <w:pStyle w:val="Normal"/>
              <w:rPr>
                <w:sz w:val="24"/>
                <w:szCs w:val="24"/>
              </w:rPr>
            </w:pPr>
            <w:r>
              <w:rPr>
                <w:sz w:val="24"/>
                <w:szCs w:val="24"/>
              </w:rPr>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Coating Area</w:t>
            </w:r>
          </w:p>
          <w:p>
            <w:pPr>
              <w:pStyle w:val="Normal"/>
              <w:rPr>
                <w:b/>
                <w:b/>
                <w:bCs/>
                <w:sz w:val="24"/>
                <w:szCs w:val="24"/>
              </w:rPr>
            </w:pPr>
            <w:r>
              <w:rPr>
                <w:b/>
                <w:bCs/>
                <w:sz w:val="24"/>
                <w:szCs w:val="24"/>
              </w:rPr>
              <w:t>(note 1)</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To Bevel</w:t>
            </w:r>
          </w:p>
          <w:p>
            <w:pPr>
              <w:pStyle w:val="Normal"/>
              <w:rPr>
                <w:sz w:val="24"/>
                <w:szCs w:val="24"/>
              </w:rPr>
            </w:pPr>
            <w:r>
              <w:rPr>
                <w:sz w:val="24"/>
                <w:szCs w:val="24"/>
              </w:rPr>
            </w:r>
          </w:p>
        </w:tc>
      </w:tr>
      <w:tr>
        <w:trPr>
          <w:trHeight w:val="288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Witness Sample Durability Testing</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On one witness piece per run, coating to resist:</w:t>
            </w:r>
          </w:p>
          <w:p>
            <w:pPr>
              <w:pStyle w:val="Normal"/>
              <w:rPr>
                <w:sz w:val="24"/>
                <w:szCs w:val="24"/>
              </w:rPr>
            </w:pPr>
            <w:r>
              <w:rPr>
                <w:sz w:val="24"/>
                <w:szCs w:val="24"/>
              </w:rPr>
            </w:r>
          </w:p>
          <w:p>
            <w:pPr>
              <w:pStyle w:val="Normal"/>
              <w:numPr>
                <w:ilvl w:val="0"/>
                <w:numId w:val="2"/>
              </w:numPr>
              <w:rPr>
                <w:sz w:val="24"/>
                <w:szCs w:val="24"/>
              </w:rPr>
            </w:pPr>
            <w:r>
              <w:rPr>
                <w:sz w:val="24"/>
                <w:szCs w:val="24"/>
              </w:rPr>
              <w:t xml:space="preserve">Adhesion test per MIL-C-48497A 4.5.3.1 Adhesion (snap tape). </w:t>
            </w:r>
          </w:p>
          <w:p>
            <w:pPr>
              <w:pStyle w:val="Normal"/>
              <w:ind w:left="420" w:hanging="0"/>
              <w:rPr>
                <w:sz w:val="24"/>
                <w:szCs w:val="24"/>
              </w:rPr>
            </w:pPr>
            <w:r>
              <w:rPr>
                <w:sz w:val="24"/>
                <w:szCs w:val="24"/>
              </w:rPr>
            </w:r>
          </w:p>
          <w:p>
            <w:pPr>
              <w:pStyle w:val="Normal"/>
              <w:numPr>
                <w:ilvl w:val="0"/>
                <w:numId w:val="2"/>
              </w:numPr>
              <w:rPr>
                <w:sz w:val="24"/>
                <w:szCs w:val="24"/>
              </w:rPr>
            </w:pPr>
            <w:r>
              <w:rPr>
                <w:sz w:val="24"/>
                <w:szCs w:val="24"/>
              </w:rPr>
              <w:t xml:space="preserve">MIL-C-4.5.3.2 Humidity (120F 95% RH for 24 hours), combined with before/after reflectance &amp; transmittance spectrophotometer scans from 350 - 2500 nm in about 1 nm increments, marking the specimen ensure the same area is scanned. The scans will be provided in an Excel spreadsheet as columnar data. There should be no measurable spectral shift. </w:t>
            </w:r>
          </w:p>
          <w:p>
            <w:pPr>
              <w:pStyle w:val="Normal"/>
              <w:rPr>
                <w:sz w:val="24"/>
                <w:szCs w:val="24"/>
              </w:rPr>
            </w:pPr>
            <w:r>
              <w:rPr>
                <w:sz w:val="24"/>
                <w:szCs w:val="24"/>
              </w:rPr>
            </w:r>
          </w:p>
          <w:p>
            <w:pPr>
              <w:pStyle w:val="Normal"/>
              <w:numPr>
                <w:ilvl w:val="0"/>
                <w:numId w:val="2"/>
              </w:numPr>
              <w:rPr>
                <w:sz w:val="24"/>
                <w:szCs w:val="24"/>
              </w:rPr>
            </w:pPr>
            <w:r>
              <w:rPr>
                <w:sz w:val="24"/>
                <w:szCs w:val="24"/>
              </w:rPr>
              <w:t>MIL-C-4.5.3.3 Moderate Abrasion (cheesecloth rub).</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w:t>
            </w:r>
          </w:p>
        </w:tc>
      </w:tr>
      <w:tr>
        <w:trPr>
          <w:trHeight w:val="64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8"/>
                <w:szCs w:val="28"/>
              </w:rPr>
            </w:pPr>
            <w:r>
              <w:rPr>
                <w:b/>
                <w:bCs/>
                <w:sz w:val="28"/>
                <w:szCs w:val="28"/>
              </w:rPr>
              <w:t>Surface 1</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b/>
                <w:b/>
                <w:i/>
                <w:i/>
                <w:color w:val="FF0000"/>
                <w:sz w:val="24"/>
                <w:szCs w:val="24"/>
                <w:u w:val="single"/>
              </w:rPr>
            </w:pPr>
            <w:r>
              <w:rPr>
                <w:b/>
                <w:i/>
                <w:color w:val="FF0000"/>
                <w:sz w:val="24"/>
                <w:szCs w:val="24"/>
                <w:u w:val="single"/>
              </w:rPr>
              <w:t>ARROWS ON OPTIC SIDE POINT TO SURFACE 1</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Coating Type</w:t>
            </w:r>
          </w:p>
          <w:p>
            <w:pPr>
              <w:pStyle w:val="Normal"/>
              <w:rPr>
                <w:b/>
                <w:b/>
                <w:bCs/>
                <w:sz w:val="24"/>
                <w:szCs w:val="24"/>
              </w:rPr>
            </w:pPr>
            <w:r>
              <w:rPr>
                <w:b/>
                <w:bCs/>
                <w:sz w:val="24"/>
                <w:szCs w:val="24"/>
              </w:rPr>
              <w:t>(note 2)</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b w:val="false"/>
                <w:bCs w:val="false"/>
                <w:sz w:val="24"/>
                <w:szCs w:val="24"/>
              </w:rPr>
              <w:t>P-State</w:t>
            </w:r>
            <w:r>
              <w:rPr>
                <w:sz w:val="24"/>
                <w:szCs w:val="24"/>
              </w:rPr>
              <w:t xml:space="preserve"> Beamsplitter at 1064nm </w:t>
            </w:r>
          </w:p>
        </w:tc>
      </w:tr>
      <w:tr>
        <w:trPr>
          <w:trHeight w:val="637"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Angle of Incidence</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45 degrees on the air side, incident light is 100% p-polarized.</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Transmission at 1064 nm</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0.5 ±0.005 requirement for p-polarized incident light, incident from the air side.</w:t>
            </w:r>
          </w:p>
        </w:tc>
      </w:tr>
      <w:tr>
        <w:trPr>
          <w:trHeight w:val="70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4"/>
                <w:szCs w:val="24"/>
              </w:rPr>
              <w:t>Absorption at 1064 nm</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&lt;1 ppm</w:t>
            </w:r>
          </w:p>
        </w:tc>
      </w:tr>
      <w:tr>
        <w:trPr>
          <w:trHeight w:val="70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Transmission at 532 nm</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Goal: between 30% and 70% for </w:t>
            </w:r>
            <w:r>
              <w:rPr>
                <w:b w:val="false"/>
                <w:bCs w:val="false"/>
                <w:sz w:val="24"/>
                <w:szCs w:val="24"/>
                <w:lang w:val="en-US" w:eastAsia="en-US"/>
              </w:rPr>
              <w:t>S</w:t>
            </w:r>
            <w:r>
              <w:rPr>
                <w:b w:val="false"/>
                <w:bCs w:val="false"/>
                <w:sz w:val="24"/>
                <w:szCs w:val="24"/>
              </w:rPr>
              <w:t>-polarization</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 xml:space="preserve">Transmission and reflection goals in a band around 840nm </w:t>
            </w:r>
          </w:p>
          <w:p>
            <w:pPr>
              <w:pStyle w:val="Normal"/>
              <w:rPr>
                <w:b/>
                <w:b/>
                <w:bCs/>
                <w:sz w:val="24"/>
                <w:szCs w:val="24"/>
              </w:rPr>
            </w:pPr>
            <w:r>
              <w:rPr>
                <w:b/>
                <w:bCs/>
                <w:sz w:val="24"/>
                <w:szCs w:val="24"/>
              </w:rPr>
              <w:t>(note 3)</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1814"/>
              <w:gridCol w:w="1815"/>
              <w:gridCol w:w="1992"/>
            </w:tblGrid>
            <w:tr>
              <w:trPr/>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Wavelength</w:t>
                  </w:r>
                </w:p>
              </w:tc>
              <w:tc>
                <w:tcPr>
                  <w:tcW w:w="18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Polarization</w:t>
                  </w:r>
                </w:p>
              </w:tc>
              <w:tc>
                <w:tcPr>
                  <w:tcW w:w="1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Transmission</w:t>
                  </w:r>
                </w:p>
              </w:tc>
            </w:tr>
            <w:tr>
              <w:trPr/>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840±10nm</w:t>
                  </w:r>
                </w:p>
              </w:tc>
              <w:tc>
                <w:tcPr>
                  <w:tcW w:w="18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w:t>
                  </w:r>
                </w:p>
              </w:tc>
              <w:tc>
                <w:tcPr>
                  <w:tcW w:w="1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90%</w:t>
                  </w:r>
                </w:p>
              </w:tc>
            </w:tr>
            <w:tr>
              <w:trPr/>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840±10nm</w:t>
                  </w:r>
                </w:p>
              </w:tc>
              <w:tc>
                <w:tcPr>
                  <w:tcW w:w="18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S</w:t>
                  </w:r>
                </w:p>
              </w:tc>
              <w:tc>
                <w:tcPr>
                  <w:tcW w:w="1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75%</w:t>
                  </w:r>
                </w:p>
              </w:tc>
            </w:tr>
          </w:tbl>
          <w:p>
            <w:pPr>
              <w:pStyle w:val="Normal"/>
              <w:rPr>
                <w:color w:val="FF0000"/>
                <w:sz w:val="24"/>
                <w:szCs w:val="24"/>
              </w:rPr>
            </w:pPr>
            <w:r>
              <w:rPr>
                <w:color w:val="FF0000"/>
                <w:sz w:val="24"/>
                <w:szCs w:val="24"/>
              </w:rPr>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rPr>
            </w:pPr>
            <w:r>
              <w:rPr>
                <w:b/>
                <w:bCs/>
                <w:sz w:val="24"/>
                <w:szCs w:val="24"/>
              </w:rPr>
              <w:t>Max Scratches Surface 1 inside 250mm diameter (units of sq. microns)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rPr>
            </w:pPr>
            <w:r>
              <w:rPr>
                <w:sz w:val="24"/>
                <w:szCs w:val="24"/>
              </w:rPr>
              <w:t>500,000</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rPr>
            </w:pPr>
            <w:r>
              <w:rPr>
                <w:b/>
                <w:bCs/>
                <w:sz w:val="24"/>
                <w:szCs w:val="24"/>
              </w:rPr>
              <w:t>Max Scratches Surface 1 outside 250mm to 360mm diameter (units sq. microns)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rPr>
            </w:pPr>
            <w:r>
              <w:rPr>
                <w:sz w:val="24"/>
                <w:szCs w:val="24"/>
              </w:rPr>
              <w:t>1,500,000</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rPr>
            </w:pPr>
            <w:r>
              <w:rPr>
                <w:b/>
                <w:bCs/>
                <w:sz w:val="24"/>
                <w:szCs w:val="24"/>
              </w:rPr>
              <w:t>Max Point Defects Surface 1 inside 250mm diameter</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rPr>
            </w:pPr>
            <w:r>
              <w:rPr>
                <w:sz w:val="24"/>
                <w:szCs w:val="24"/>
              </w:rPr>
              <w:t>50</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rPr>
            </w:pPr>
            <w:r>
              <w:rPr>
                <w:b/>
                <w:bCs/>
                <w:sz w:val="24"/>
                <w:szCs w:val="24"/>
              </w:rPr>
              <w:t>Max Point Defect Density Surface 1 inside 250mm diameter</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rPr>
            </w:pPr>
            <w:r>
              <w:rPr>
                <w:sz w:val="24"/>
                <w:szCs w:val="24"/>
              </w:rPr>
              <w:t>5 per sq. millimeter</w:t>
            </w:r>
          </w:p>
        </w:tc>
      </w:tr>
      <w:tr>
        <w:trPr>
          <w:trHeight w:val="4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4"/>
                <w:szCs w:val="24"/>
              </w:rPr>
              <w:t>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 </w:t>
            </w:r>
          </w:p>
        </w:tc>
      </w:tr>
      <w:tr>
        <w:trPr>
          <w:trHeight w:val="358"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8"/>
                <w:szCs w:val="28"/>
              </w:rPr>
              <w:t>Surface 2</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 </w:t>
            </w:r>
          </w:p>
        </w:tc>
      </w:tr>
      <w:tr>
        <w:trPr>
          <w:trHeight w:val="66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Coating Type</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Antireflection</w:t>
            </w:r>
          </w:p>
          <w:p>
            <w:pPr>
              <w:pStyle w:val="Normal"/>
              <w:rPr>
                <w:sz w:val="24"/>
                <w:szCs w:val="24"/>
              </w:rPr>
            </w:pPr>
            <w:r>
              <w:rPr>
                <w:sz w:val="24"/>
                <w:szCs w:val="24"/>
              </w:rPr>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Angle of Incidence</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Design for the range of possible angles of incidence when mounted in the end user application. This range extends from min:</w:t>
            </w:r>
            <w:r>
              <w:rPr/>
              <w:t xml:space="preserve"> </w:t>
            </w:r>
            <w:r>
              <w:rPr>
                <w:sz w:val="24"/>
                <w:szCs w:val="24"/>
              </w:rPr>
              <w:t>44.9707 to max: 44.9760 degrees, on the air side.</w:t>
            </w:r>
          </w:p>
          <w:p>
            <w:pPr>
              <w:pStyle w:val="Normal"/>
              <w:rPr>
                <w:sz w:val="24"/>
                <w:szCs w:val="24"/>
              </w:rPr>
            </w:pPr>
            <w:r>
              <w:rPr>
                <w:sz w:val="24"/>
                <w:szCs w:val="24"/>
              </w:rPr>
              <w:t>The incident light is 100% p-polarized.</w:t>
            </w:r>
          </w:p>
          <w:p>
            <w:pPr>
              <w:pStyle w:val="Normal"/>
              <w:rPr>
                <w:sz w:val="24"/>
                <w:szCs w:val="24"/>
              </w:rPr>
            </w:pPr>
            <w:r>
              <w:rPr>
                <w:sz w:val="24"/>
                <w:szCs w:val="24"/>
              </w:rPr>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 xml:space="preserve">Reflection at 1064 nm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&lt; 50 ppm requirement for p-polarized incident light, incident from the air side.</w:t>
            </w:r>
          </w:p>
          <w:p>
            <w:pPr>
              <w:pStyle w:val="Normal"/>
              <w:rPr>
                <w:sz w:val="24"/>
                <w:szCs w:val="24"/>
              </w:rPr>
            </w:pPr>
            <w:r>
              <w:rPr>
                <w:sz w:val="24"/>
                <w:szCs w:val="24"/>
              </w:rPr>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Absorption at 1064 nm</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&lt; 1 ppm</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Transmission at 532 nm</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Goal &gt;90%</w:t>
            </w:r>
          </w:p>
        </w:tc>
      </w:tr>
      <w:tr>
        <w:trPr>
          <w:trHeight w:val="547"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Transmission and reflection goals at specified wavelengths (note 1)</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1378"/>
              <w:gridCol w:w="1379"/>
              <w:gridCol w:w="1351"/>
              <w:gridCol w:w="1512"/>
            </w:tblGrid>
            <w:tr>
              <w:trPr/>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Wavelength</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Polarization</w:t>
                  </w:r>
                </w:p>
              </w:tc>
              <w:tc>
                <w:tcPr>
                  <w:tcW w:w="13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Reflectivity</w:t>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Transmission</w:t>
                  </w:r>
                </w:p>
              </w:tc>
            </w:tr>
            <w:tr>
              <w:trPr/>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790±5nm</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w:t>
                  </w:r>
                </w:p>
              </w:tc>
              <w:tc>
                <w:tcPr>
                  <w:tcW w:w="13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35%</w:t>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NA</w:t>
                  </w:r>
                </w:p>
              </w:tc>
            </w:tr>
            <w:tr>
              <w:trPr/>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790±5nm</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S</w:t>
                  </w:r>
                </w:p>
              </w:tc>
              <w:tc>
                <w:tcPr>
                  <w:tcW w:w="13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60%</w:t>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NA</w:t>
                  </w:r>
                </w:p>
              </w:tc>
            </w:tr>
            <w:tr>
              <w:trPr/>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840±5nm</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w:t>
                  </w:r>
                </w:p>
              </w:tc>
              <w:tc>
                <w:tcPr>
                  <w:tcW w:w="13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NA</w:t>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80%</w:t>
                  </w:r>
                </w:p>
              </w:tc>
            </w:tr>
            <w:tr>
              <w:trPr/>
              <w:tc>
                <w:tcPr>
                  <w:tcW w:w="137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840±5nm</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S</w:t>
                  </w:r>
                </w:p>
              </w:tc>
              <w:tc>
                <w:tcPr>
                  <w:tcW w:w="135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NA</w:t>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w:t>
                  </w:r>
                  <w:r>
                    <w:rPr>
                      <w:sz w:val="24"/>
                      <w:szCs w:val="24"/>
                    </w:rPr>
                    <w:t>60%</w:t>
                  </w:r>
                </w:p>
              </w:tc>
            </w:tr>
          </w:tbl>
          <w:p>
            <w:pPr>
              <w:pStyle w:val="Normal"/>
              <w:rPr>
                <w:color w:val="FF0000"/>
                <w:sz w:val="24"/>
                <w:szCs w:val="24"/>
              </w:rPr>
            </w:pPr>
            <w:r>
              <w:rPr>
                <w:color w:val="FF0000"/>
                <w:sz w:val="24"/>
                <w:szCs w:val="24"/>
              </w:rPr>
            </w:r>
          </w:p>
        </w:tc>
      </w:tr>
      <w:tr>
        <w:trPr>
          <w:trHeight w:val="547"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Max Scratches Surface 2 inside 250mm diameter (units of sq. microns)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1,000,000</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Max Point Defects Surface 2 inside 250mm diameter</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100</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4"/>
                <w:szCs w:val="24"/>
              </w:rPr>
              <w:t>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 </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4"/>
                <w:szCs w:val="24"/>
              </w:rPr>
              <w:t>Other</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 </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4"/>
                <w:szCs w:val="24"/>
              </w:rPr>
              <w:t> </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 </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trike/>
                <w:sz w:val="24"/>
                <w:szCs w:val="24"/>
                <w:highlight w:val="yellow"/>
              </w:rPr>
            </w:pPr>
            <w:r>
              <w:rPr>
                <w:b/>
                <w:bCs/>
                <w:sz w:val="28"/>
                <w:szCs w:val="28"/>
              </w:rPr>
              <w:t>Additional Deliverables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trike/>
                <w:sz w:val="24"/>
                <w:szCs w:val="24"/>
                <w:highlight w:val="yellow"/>
              </w:rPr>
            </w:pPr>
            <w:r>
              <w:rPr>
                <w:sz w:val="24"/>
                <w:szCs w:val="24"/>
              </w:rPr>
              <w:t> </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Witness Samples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SURFACE 1 &amp; 2: </w:t>
            </w:r>
          </w:p>
          <w:p>
            <w:pPr>
              <w:pStyle w:val="Normal"/>
              <w:rPr>
                <w:sz w:val="24"/>
                <w:szCs w:val="24"/>
              </w:rPr>
            </w:pPr>
            <w:r>
              <w:rPr>
                <w:sz w:val="24"/>
                <w:szCs w:val="24"/>
              </w:rPr>
            </w:r>
          </w:p>
          <w:p>
            <w:pPr>
              <w:pStyle w:val="Normal"/>
              <w:rPr>
                <w:sz w:val="24"/>
                <w:szCs w:val="24"/>
              </w:rPr>
            </w:pPr>
            <w:r>
              <w:rPr>
                <w:sz w:val="24"/>
                <w:szCs w:val="24"/>
              </w:rPr>
              <w:t>Two 1-inch witness samples per run required + as many 1-inch witness pieces that can be fit additionally per run (provided by vendor).</w:t>
            </w:r>
          </w:p>
          <w:p>
            <w:pPr>
              <w:pStyle w:val="Normal"/>
              <w:rPr>
                <w:sz w:val="24"/>
                <w:szCs w:val="24"/>
              </w:rPr>
            </w:pPr>
            <w:r>
              <w:rPr>
                <w:sz w:val="24"/>
                <w:szCs w:val="24"/>
              </w:rPr>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Layer Thickness Information</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For all layers in the design, measured thickness data from the deposition for each run, designed thicknesses, and measured indices of refraction at 1064 nm for both coating materials (based on individual layers).</w:t>
            </w:r>
          </w:p>
        </w:tc>
      </w:tr>
      <w:tr>
        <w:trPr>
          <w:trHeight w:val="630"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Surface 1 Spectral Scans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bCs/>
                <w:color w:val="000000"/>
                <w:sz w:val="24"/>
                <w:szCs w:val="24"/>
              </w:rPr>
            </w:pPr>
            <w:r>
              <w:rPr>
                <w:bCs/>
                <w:color w:val="000000"/>
                <w:sz w:val="24"/>
                <w:szCs w:val="24"/>
              </w:rPr>
              <w:t xml:space="preserve">On a representative witness piece for each run, nominal 45.0 degree angle of incidence p-polarized spectrophotometer scans of reflectance and transmission of Surface 1 (BS coating) from 350-2500 nm before it is coated, between Surface 1 and Surface 2 coating, and after coating is completed. </w:t>
            </w:r>
          </w:p>
          <w:p>
            <w:pPr>
              <w:pStyle w:val="Normal"/>
              <w:rPr>
                <w:bCs/>
                <w:color w:val="000000"/>
                <w:sz w:val="24"/>
                <w:szCs w:val="24"/>
              </w:rPr>
            </w:pPr>
            <w:r>
              <w:rPr>
                <w:bCs/>
                <w:color w:val="000000"/>
                <w:sz w:val="24"/>
                <w:szCs w:val="24"/>
              </w:rPr>
            </w:r>
          </w:p>
          <w:p>
            <w:pPr>
              <w:pStyle w:val="Normal"/>
              <w:rPr>
                <w:bCs/>
                <w:color w:val="000000"/>
                <w:sz w:val="24"/>
                <w:szCs w:val="24"/>
              </w:rPr>
            </w:pPr>
            <w:r>
              <w:rPr>
                <w:bCs/>
                <w:color w:val="000000"/>
                <w:sz w:val="24"/>
                <w:szCs w:val="24"/>
              </w:rPr>
              <w:t>All spectrophotometer data to be provided in Excel spreadsheet format with columnar data in increments of approximately 1 nm.</w:t>
            </w:r>
          </w:p>
          <w:p>
            <w:pPr>
              <w:pStyle w:val="Normal"/>
              <w:rPr>
                <w:sz w:val="24"/>
                <w:szCs w:val="24"/>
              </w:rPr>
            </w:pPr>
            <w:r>
              <w:rPr>
                <w:sz w:val="24"/>
                <w:szCs w:val="24"/>
              </w:rPr>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Surface 2 Spectral Scans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bCs/>
                <w:color w:val="000000"/>
                <w:sz w:val="24"/>
                <w:szCs w:val="24"/>
              </w:rPr>
            </w:pPr>
            <w:r>
              <w:rPr>
                <w:bCs/>
                <w:color w:val="000000"/>
                <w:sz w:val="24"/>
                <w:szCs w:val="24"/>
              </w:rPr>
              <w:t xml:space="preserve">On a representative witness piece for each run, nominal 45.0 degree angle of incidence p-polarized spectrophotometer scans of reflectance and transmission of Surface 1 (AR coating) from 350-2500 nm before it is coated, between Surface 1 and Surface 2 coating, and after coating is completed. </w:t>
            </w:r>
          </w:p>
          <w:p>
            <w:pPr>
              <w:pStyle w:val="Normal"/>
              <w:rPr>
                <w:bCs/>
                <w:color w:val="000000"/>
                <w:sz w:val="24"/>
                <w:szCs w:val="24"/>
              </w:rPr>
            </w:pPr>
            <w:r>
              <w:rPr>
                <w:bCs/>
                <w:color w:val="000000"/>
                <w:sz w:val="24"/>
                <w:szCs w:val="24"/>
              </w:rPr>
            </w:r>
          </w:p>
          <w:p>
            <w:pPr>
              <w:pStyle w:val="Normal"/>
              <w:rPr>
                <w:bCs/>
                <w:color w:val="000000"/>
                <w:sz w:val="24"/>
                <w:szCs w:val="24"/>
              </w:rPr>
            </w:pPr>
            <w:r>
              <w:rPr>
                <w:bCs/>
                <w:color w:val="000000"/>
                <w:sz w:val="24"/>
                <w:szCs w:val="24"/>
              </w:rPr>
              <w:t>All spectrophotometer data to be provided in Excel spreadsheet format with columnar data in increments of approximately 1 nm.</w:t>
            </w:r>
          </w:p>
          <w:p>
            <w:pPr>
              <w:pStyle w:val="Normal"/>
              <w:rPr>
                <w:bCs/>
                <w:color w:val="000000"/>
                <w:sz w:val="24"/>
                <w:szCs w:val="24"/>
              </w:rPr>
            </w:pPr>
            <w:r>
              <w:rPr>
                <w:bCs/>
                <w:color w:val="000000"/>
                <w:sz w:val="24"/>
                <w:szCs w:val="24"/>
              </w:rPr>
            </w:r>
          </w:p>
          <w:p>
            <w:pPr>
              <w:pStyle w:val="Normal"/>
              <w:rPr>
                <w:sz w:val="24"/>
                <w:szCs w:val="24"/>
              </w:rPr>
            </w:pPr>
            <w:r>
              <w:rPr>
                <w:sz w:val="24"/>
                <w:szCs w:val="24"/>
              </w:rPr>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 xml:space="preserve">Surface Defect Analysis </w:t>
            </w:r>
          </w:p>
          <w:p>
            <w:pPr>
              <w:pStyle w:val="Normal"/>
              <w:rPr>
                <w:b/>
                <w:b/>
                <w:bCs/>
                <w:sz w:val="24"/>
                <w:szCs w:val="24"/>
              </w:rPr>
            </w:pPr>
            <w:r>
              <w:rPr>
                <w:b/>
                <w:bCs/>
                <w:sz w:val="24"/>
                <w:szCs w:val="24"/>
              </w:rPr>
              <w:t>Methods 1 and 2 are required.</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METHOD 1. </w:t>
            </w:r>
          </w:p>
          <w:p>
            <w:pPr>
              <w:pStyle w:val="Normal"/>
              <w:rPr>
                <w:sz w:val="24"/>
                <w:szCs w:val="24"/>
              </w:rPr>
            </w:pPr>
            <w:r>
              <w:rPr>
                <w:sz w:val="24"/>
                <w:szCs w:val="24"/>
              </w:rPr>
            </w:r>
          </w:p>
          <w:p>
            <w:pPr>
              <w:pStyle w:val="Normal"/>
              <w:rPr>
                <w:sz w:val="24"/>
                <w:szCs w:val="24"/>
              </w:rPr>
            </w:pPr>
            <w:r>
              <w:rPr>
                <w:sz w:val="24"/>
                <w:szCs w:val="24"/>
              </w:rPr>
              <w:t xml:space="preserve">The surface is examined visually by two observers independently. The examination is done against a dark background using a fiber optic illumination system of at least 150 W </w:t>
            </w:r>
            <w:r>
              <w:rPr>
                <w:sz w:val="24"/>
                <w:szCs w:val="24"/>
              </w:rPr>
              <w:t>lamp-</w:t>
            </w:r>
            <w:r>
              <w:rPr>
                <w:sz w:val="24"/>
                <w:szCs w:val="24"/>
              </w:rPr>
              <w:t xml:space="preserve">power if halogen, or </w:t>
            </w:r>
            <w:r>
              <w:rPr>
                <w:sz w:val="24"/>
                <w:szCs w:val="24"/>
              </w:rPr>
              <w:t xml:space="preserve">a </w:t>
            </w:r>
            <w:r>
              <w:rPr>
                <w:sz w:val="24"/>
                <w:szCs w:val="24"/>
              </w:rPr>
              <w:t xml:space="preserve">similar LED source. A 100% inspection of the surface is carried out. Pits and scratches down to 2 micrometers in width can be detected using this method of inspection. The length of any scratches or sleeks that are detected will be measured using a </w:t>
            </w:r>
            <w:r>
              <w:rPr>
                <w:sz w:val="24"/>
                <w:szCs w:val="24"/>
              </w:rPr>
              <w:t xml:space="preserve">suitable </w:t>
            </w:r>
            <w:r>
              <w:rPr>
                <w:sz w:val="24"/>
                <w:szCs w:val="24"/>
              </w:rPr>
              <w:t xml:space="preserve">calibrated eyepiece.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METHOD 2. </w:t>
            </w:r>
          </w:p>
          <w:p>
            <w:pPr>
              <w:pStyle w:val="Normal"/>
              <w:rPr>
                <w:sz w:val="24"/>
                <w:szCs w:val="24"/>
              </w:rPr>
            </w:pPr>
            <w:r>
              <w:rPr>
                <w:sz w:val="24"/>
                <w:szCs w:val="24"/>
              </w:rPr>
            </w:r>
          </w:p>
          <w:p>
            <w:pPr>
              <w:pStyle w:val="Normal"/>
              <w:rPr>
                <w:sz w:val="24"/>
                <w:szCs w:val="24"/>
              </w:rPr>
            </w:pPr>
            <w:r>
              <w:rPr>
                <w:sz w:val="24"/>
                <w:szCs w:val="24"/>
              </w:rPr>
              <w:t xml:space="preserve">Further inspection will be done with a minimum 6X eyeglass using the same illumination conditions, again with two observers. Sleeks down to 0.5 micrometers wide can be detected using this method. The surface will be scanned along one or two chords from center to edge, then at ten positions around the edge, and ten to fifteen positions near the center. </w:t>
            </w:r>
          </w:p>
          <w:p>
            <w:pPr>
              <w:pStyle w:val="Normal"/>
              <w:rPr>
                <w:sz w:val="24"/>
                <w:szCs w:val="24"/>
              </w:rPr>
            </w:pPr>
            <w:r>
              <w:rPr>
                <w:sz w:val="24"/>
                <w:szCs w:val="24"/>
              </w:rPr>
            </w:r>
          </w:p>
          <w:p>
            <w:pPr>
              <w:pStyle w:val="Normal"/>
              <w:rPr>
                <w:sz w:val="24"/>
                <w:szCs w:val="24"/>
              </w:rPr>
            </w:pPr>
            <w:r>
              <w:rPr>
                <w:sz w:val="24"/>
                <w:szCs w:val="24"/>
              </w:rPr>
              <w:t>Data to be supplied as a hand sketch from both Methods 1 &amp; 2.</w:t>
            </w:r>
          </w:p>
          <w:p>
            <w:pPr>
              <w:pStyle w:val="Normal"/>
              <w:rPr>
                <w:sz w:val="24"/>
                <w:szCs w:val="24"/>
              </w:rPr>
            </w:pPr>
            <w:r>
              <w:rPr>
                <w:sz w:val="24"/>
                <w:szCs w:val="24"/>
              </w:rPr>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Durability Test Data &amp; Samples</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All samples from the durability tests and data, including transmittance and reflectance spectrophotometer scans of the representative coating on each side in an Excel spreadsheet with columnar data spaced by approximately 1 nm from 350 - 2500 nm.</w:t>
            </w:r>
          </w:p>
          <w:p>
            <w:pPr>
              <w:pStyle w:val="Normal"/>
              <w:rPr>
                <w:sz w:val="24"/>
                <w:szCs w:val="24"/>
              </w:rPr>
            </w:pPr>
            <w:r>
              <w:rPr>
                <w:sz w:val="24"/>
                <w:szCs w:val="24"/>
              </w:rPr>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Note 1</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Minor exceptions allowed, avoiding areas near the horizontal center line (see D1900151-v2)  </w:t>
            </w:r>
          </w:p>
        </w:tc>
      </w:tr>
      <w:tr>
        <w:trPr>
          <w:trHeight w:val="315" w:hRule="atLeast"/>
        </w:trPr>
        <w:tc>
          <w:tcPr>
            <w:tcW w:w="3883" w:type="dxa"/>
            <w:tcBorders>
              <w:top w:val="single" w:sz="6" w:space="0" w:color="000000"/>
              <w:left w:val="double" w:sz="6" w:space="0" w:color="000000"/>
              <w:bottom w:val="single" w:sz="6" w:space="0" w:color="000000"/>
              <w:right w:val="single" w:sz="6" w:space="0" w:color="000000"/>
            </w:tcBorders>
            <w:shd w:color="auto" w:fill="auto" w:val="clear"/>
          </w:tcPr>
          <w:p>
            <w:pPr>
              <w:pStyle w:val="Normal"/>
              <w:rPr>
                <w:b/>
                <w:b/>
                <w:bCs/>
                <w:sz w:val="24"/>
                <w:szCs w:val="24"/>
              </w:rPr>
            </w:pPr>
            <w:r>
              <w:rPr>
                <w:b/>
                <w:bCs/>
                <w:sz w:val="24"/>
                <w:szCs w:val="24"/>
              </w:rPr>
              <w:t>Note 2</w:t>
            </w:r>
          </w:p>
        </w:tc>
        <w:tc>
          <w:tcPr>
            <w:tcW w:w="5836" w:type="dxa"/>
            <w:tcBorders>
              <w:top w:val="single" w:sz="6" w:space="0" w:color="000000"/>
              <w:left w:val="single" w:sz="6" w:space="0" w:color="000000"/>
              <w:bottom w:val="single" w:sz="6" w:space="0" w:color="000000"/>
              <w:right w:val="double" w:sz="6" w:space="0" w:color="000000"/>
            </w:tcBorders>
            <w:shd w:color="auto" w:fill="auto" w:val="clear"/>
          </w:tcPr>
          <w:p>
            <w:pPr>
              <w:pStyle w:val="Normal"/>
              <w:rPr>
                <w:sz w:val="24"/>
                <w:szCs w:val="24"/>
              </w:rPr>
            </w:pPr>
            <w:r>
              <w:rPr>
                <w:sz w:val="24"/>
                <w:szCs w:val="24"/>
              </w:rPr>
              <w:t xml:space="preserve">The design wavelength is 1064.15nm. Deviations from this are negligible and design uncertainty shall be associated with R &amp; T. </w:t>
            </w:r>
          </w:p>
        </w:tc>
      </w:tr>
      <w:tr>
        <w:trPr>
          <w:trHeight w:val="315" w:hRule="atLeast"/>
        </w:trPr>
        <w:tc>
          <w:tcPr>
            <w:tcW w:w="3883" w:type="dxa"/>
            <w:tcBorders>
              <w:top w:val="single" w:sz="6" w:space="0" w:color="000000"/>
              <w:left w:val="double" w:sz="6" w:space="0" w:color="000000"/>
              <w:bottom w:val="double" w:sz="6" w:space="0" w:color="000000"/>
              <w:right w:val="single" w:sz="6" w:space="0" w:color="000000"/>
            </w:tcBorders>
            <w:shd w:color="auto" w:fill="auto" w:val="clear"/>
          </w:tcPr>
          <w:p>
            <w:pPr>
              <w:pStyle w:val="Normal"/>
              <w:rPr>
                <w:b/>
                <w:b/>
                <w:bCs/>
                <w:sz w:val="24"/>
                <w:szCs w:val="24"/>
              </w:rPr>
            </w:pPr>
            <w:r>
              <w:rPr>
                <w:b/>
                <w:bCs/>
                <w:sz w:val="24"/>
                <w:szCs w:val="24"/>
              </w:rPr>
              <w:t>Note 3</w:t>
            </w:r>
          </w:p>
        </w:tc>
        <w:tc>
          <w:tcPr>
            <w:tcW w:w="5836" w:type="dxa"/>
            <w:tcBorders>
              <w:top w:val="single" w:sz="6" w:space="0" w:color="000000"/>
              <w:left w:val="single" w:sz="6" w:space="0" w:color="000000"/>
              <w:bottom w:val="double" w:sz="6" w:space="0" w:color="000000"/>
              <w:right w:val="double" w:sz="6" w:space="0" w:color="000000"/>
            </w:tcBorders>
            <w:shd w:color="auto" w:fill="auto" w:val="clear"/>
          </w:tcPr>
          <w:p>
            <w:pPr>
              <w:pStyle w:val="Normal"/>
              <w:rPr>
                <w:sz w:val="24"/>
                <w:szCs w:val="24"/>
              </w:rPr>
            </w:pPr>
            <w:r>
              <w:rPr>
                <w:sz w:val="24"/>
                <w:szCs w:val="24"/>
              </w:rPr>
              <w:t xml:space="preserve">The coating design is to be reviewed by the customer before giving the go-ahead for production. </w:t>
            </w:r>
          </w:p>
        </w:tc>
      </w:tr>
    </w:tbl>
    <w:p>
      <w:pPr>
        <w:pStyle w:val="Default"/>
        <w:spacing w:before="280" w:after="120"/>
        <w:rPr/>
      </w:pPr>
      <w:r>
        <w:rPr/>
      </w:r>
    </w:p>
    <w:sectPr>
      <w:headerReference w:type="default" r:id="rId2"/>
      <w:footerReference w:type="default" r:id="rId3"/>
      <w:type w:val="nextPage"/>
      <w:pgSz w:w="12240" w:h="15840"/>
      <w:pgMar w:left="1267" w:right="1267" w:header="720" w:top="2606" w:footer="576" w:bottom="1440" w:gutter="0"/>
      <w:pgBorders w:display="allPages" w:offsetFrom="text">
        <w:top w:val="single" w:sz="12" w:space="1" w:color="C0C0C0"/>
        <w:left w:val="single" w:sz="12" w:space="4" w:color="C0C0C0"/>
        <w:bottom w:val="single" w:sz="12" w:space="1" w:color="C0C0C0"/>
        <w:right w:val="single" w:sz="12" w:space="4" w:color="C0C0C0"/>
      </w:pgBorders>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 w:name="Courier New">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18"/>
      </w:rPr>
    </w:pPr>
    <w:r>
      <w:rPr>
        <w:sz w:val="18"/>
      </w:rPr>
      <w:t>LIGO Form CS-02 (11/00)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18" w:type="dxa"/>
      <w:tblCellMar>
        <w:top w:w="0" w:type="dxa"/>
        <w:left w:w="72" w:type="dxa"/>
        <w:bottom w:w="0" w:type="dxa"/>
        <w:right w:w="72" w:type="dxa"/>
      </w:tblCellMar>
      <w:tblLook w:val="0000" w:noHBand="0" w:noVBand="0" w:firstColumn="0" w:lastRow="0" w:lastColumn="0" w:firstRow="0"/>
    </w:tblPr>
    <w:tblGrid>
      <w:gridCol w:w="1260"/>
      <w:gridCol w:w="6516"/>
      <w:gridCol w:w="1134"/>
      <w:gridCol w:w="486"/>
      <w:gridCol w:w="504"/>
    </w:tblGrid>
    <w:tr>
      <w:trPr>
        <w:trHeight w:val="356" w:hRule="atLeast"/>
        <w:cantSplit w:val="true"/>
      </w:trPr>
      <w:tc>
        <w:tcPr>
          <w:tcW w:w="1260" w:type="dxa"/>
          <w:vMerge w:val="restart"/>
          <w:tcBorders>
            <w:top w:val="single" w:sz="12" w:space="0" w:color="C0C0C0"/>
            <w:left w:val="single" w:sz="12" w:space="0" w:color="C0C0C0"/>
          </w:tcBorders>
        </w:tcPr>
        <w:p>
          <w:pPr>
            <w:pStyle w:val="Header"/>
            <w:spacing w:before="120" w:after="0"/>
            <w:jc w:val="center"/>
            <w:rPr>
              <w:b/>
              <w:b/>
              <w:caps/>
              <w:sz w:val="18"/>
            </w:rPr>
          </w:pPr>
          <w:r>
            <w:rPr>
              <w:b/>
              <w:caps/>
              <w:sz w:val="18"/>
            </w:rPr>
            <w:object>
              <v:shape id="ole_rId1" style="width:78.05pt;height:57pt" o:ole="">
                <v:imagedata r:id="rId2" o:title=""/>
              </v:shape>
              <o:OLEObject Type="Embed" ProgID="MSPhotoEd.3" ShapeID="ole_rId1" DrawAspect="Content" ObjectID="_405569931" r:id="rId1"/>
            </w:object>
          </w:r>
        </w:p>
      </w:tc>
      <w:tc>
        <w:tcPr>
          <w:tcW w:w="6516" w:type="dxa"/>
          <w:vMerge w:val="restart"/>
          <w:tcBorders>
            <w:top w:val="single" w:sz="12" w:space="0" w:color="C0C0C0"/>
          </w:tcBorders>
        </w:tcPr>
        <w:p>
          <w:pPr>
            <w:pStyle w:val="Header"/>
            <w:spacing w:before="120" w:after="0"/>
            <w:jc w:val="center"/>
            <w:rPr>
              <w:b/>
              <w:b/>
              <w:caps/>
              <w:sz w:val="18"/>
            </w:rPr>
          </w:pPr>
          <w:r>
            <w:rPr>
              <w:b/>
              <w:caps/>
              <w:sz w:val="32"/>
            </w:rPr>
            <w:t xml:space="preserve"> </w:t>
          </w:r>
          <w:r>
            <w:rPr>
              <w:b/>
              <w:caps/>
              <w:sz w:val="18"/>
            </w:rPr>
            <w:t>Laser Interferometer Gravitational Wave Observatory</w:t>
          </w:r>
        </w:p>
        <w:p>
          <w:pPr>
            <w:pStyle w:val="Header"/>
            <w:jc w:val="center"/>
            <w:rPr>
              <w:b/>
              <w:b/>
              <w:caps/>
              <w:sz w:val="20"/>
            </w:rPr>
          </w:pPr>
          <w:r>
            <w:rPr>
              <w:b/>
              <w:caps/>
              <w:sz w:val="32"/>
            </w:rPr>
            <w:t>Specification</w:t>
          </w:r>
        </w:p>
      </w:tc>
      <w:tc>
        <w:tcPr>
          <w:tcW w:w="1134" w:type="dxa"/>
          <w:tcBorders>
            <w:top w:val="single" w:sz="12" w:space="0" w:color="C0C0C0"/>
            <w:left w:val="single" w:sz="12" w:space="0" w:color="C0C0C0"/>
          </w:tcBorders>
        </w:tcPr>
        <w:p>
          <w:pPr>
            <w:pStyle w:val="Header"/>
            <w:spacing w:before="120" w:after="0"/>
            <w:jc w:val="right"/>
            <w:rPr>
              <w:caps/>
              <w:sz w:val="20"/>
            </w:rPr>
          </w:pPr>
          <w:r>
            <w:rPr>
              <w:bCs/>
              <w:sz w:val="20"/>
            </w:rPr>
            <w:t>E1900230</w:t>
          </w:r>
        </w:p>
      </w:tc>
      <w:tc>
        <w:tcPr>
          <w:tcW w:w="486" w:type="dxa"/>
          <w:tcBorders>
            <w:top w:val="single" w:sz="12" w:space="0" w:color="C0C0C0"/>
          </w:tcBorders>
        </w:tcPr>
        <w:p>
          <w:pPr>
            <w:pStyle w:val="Header"/>
            <w:spacing w:before="120" w:after="0"/>
            <w:jc w:val="center"/>
            <w:rPr>
              <w:caps/>
              <w:sz w:val="20"/>
            </w:rPr>
          </w:pPr>
          <w:r>
            <w:rPr>
              <w:caps/>
              <w:sz w:val="20"/>
            </w:rPr>
            <w:t>v3</w:t>
          </w:r>
        </w:p>
      </w:tc>
      <w:tc>
        <w:tcPr>
          <w:tcW w:w="504" w:type="dxa"/>
          <w:tcBorders>
            <w:top w:val="single" w:sz="12" w:space="0" w:color="C0C0C0"/>
            <w:right w:val="single" w:sz="12" w:space="0" w:color="C0C0C0"/>
          </w:tcBorders>
        </w:tcPr>
        <w:p>
          <w:pPr>
            <w:pStyle w:val="Header"/>
            <w:spacing w:before="120" w:after="0"/>
            <w:jc w:val="left"/>
            <w:rPr>
              <w:b/>
              <w:b/>
              <w:caps/>
              <w:sz w:val="20"/>
            </w:rPr>
          </w:pPr>
          <w:r>
            <w:rPr>
              <w:b/>
              <w:caps/>
              <w:sz w:val="20"/>
            </w:rPr>
          </w:r>
        </w:p>
      </w:tc>
    </w:tr>
    <w:tr>
      <w:trPr>
        <w:trHeight w:val="355" w:hRule="atLeast"/>
        <w:cantSplit w:val="true"/>
      </w:trPr>
      <w:tc>
        <w:tcPr>
          <w:tcW w:w="1260" w:type="dxa"/>
          <w:vMerge w:val="continue"/>
          <w:tcBorders>
            <w:left w:val="single" w:sz="12" w:space="0" w:color="C0C0C0"/>
          </w:tcBorders>
        </w:tcPr>
        <w:p>
          <w:pPr>
            <w:pStyle w:val="Header"/>
            <w:spacing w:before="120" w:after="0"/>
            <w:jc w:val="center"/>
            <w:rPr>
              <w:sz w:val="20"/>
            </w:rPr>
          </w:pPr>
          <w:r>
            <w:rPr>
              <w:sz w:val="20"/>
            </w:rPr>
          </w:r>
        </w:p>
      </w:tc>
      <w:tc>
        <w:tcPr>
          <w:tcW w:w="6516" w:type="dxa"/>
          <w:vMerge w:val="continue"/>
          <w:tcBorders/>
        </w:tcPr>
        <w:p>
          <w:pPr>
            <w:pStyle w:val="Header"/>
            <w:spacing w:before="120" w:after="0"/>
            <w:jc w:val="center"/>
            <w:rPr>
              <w:sz w:val="20"/>
            </w:rPr>
          </w:pPr>
          <w:r>
            <w:rPr>
              <w:sz w:val="20"/>
            </w:rPr>
          </w:r>
        </w:p>
      </w:tc>
      <w:tc>
        <w:tcPr>
          <w:tcW w:w="1134" w:type="dxa"/>
          <w:tcBorders>
            <w:left w:val="single" w:sz="12" w:space="0" w:color="C0C0C0"/>
            <w:bottom w:val="single" w:sz="12" w:space="0" w:color="C0C0C0"/>
          </w:tcBorders>
        </w:tcPr>
        <w:p>
          <w:pPr>
            <w:pStyle w:val="Header"/>
            <w:spacing w:before="120" w:after="0"/>
            <w:jc w:val="right"/>
            <w:rPr>
              <w:b/>
              <w:b/>
              <w:caps/>
              <w:sz w:val="20"/>
            </w:rPr>
          </w:pPr>
          <w:r>
            <w:rPr>
              <w:rFonts w:ascii="Arial Narrow" w:hAnsi="Arial Narrow"/>
              <w:b/>
              <w:sz w:val="16"/>
            </w:rPr>
            <w:t>Drawing No</w:t>
          </w:r>
        </w:p>
      </w:tc>
      <w:tc>
        <w:tcPr>
          <w:tcW w:w="486" w:type="dxa"/>
          <w:tcBorders>
            <w:bottom w:val="single" w:sz="12" w:space="0" w:color="C0C0C0"/>
          </w:tcBorders>
        </w:tcPr>
        <w:p>
          <w:pPr>
            <w:pStyle w:val="Header"/>
            <w:spacing w:before="120" w:after="0"/>
            <w:ind w:left="-72" w:hanging="0"/>
            <w:jc w:val="right"/>
            <w:rPr>
              <w:b/>
              <w:b/>
              <w:caps/>
            </w:rPr>
          </w:pPr>
          <w:r>
            <w:rPr>
              <w:rFonts w:ascii="Arial Narrow" w:hAnsi="Arial Narrow"/>
              <w:b/>
              <w:sz w:val="16"/>
            </w:rPr>
            <w:t>Rev.</w:t>
          </w:r>
        </w:p>
      </w:tc>
      <w:tc>
        <w:tcPr>
          <w:tcW w:w="504" w:type="dxa"/>
          <w:tcBorders>
            <w:bottom w:val="single" w:sz="12" w:space="0" w:color="C0C0C0"/>
            <w:right w:val="single" w:sz="12" w:space="0" w:color="C0C0C0"/>
          </w:tcBorders>
        </w:tcPr>
        <w:p>
          <w:pPr>
            <w:pStyle w:val="Header"/>
            <w:spacing w:before="120" w:after="0"/>
            <w:ind w:left="-18" w:hanging="90"/>
            <w:jc w:val="right"/>
            <w:rPr>
              <w:b/>
              <w:b/>
              <w:caps/>
            </w:rPr>
          </w:pPr>
          <w:r>
            <w:rPr>
              <w:rFonts w:ascii="Arial Narrow" w:hAnsi="Arial Narrow"/>
              <w:b/>
              <w:sz w:val="16"/>
            </w:rPr>
            <w:t>Group</w:t>
          </w:r>
        </w:p>
      </w:tc>
    </w:tr>
    <w:tr>
      <w:trPr>
        <w:trHeight w:val="355" w:hRule="atLeast"/>
        <w:cantSplit w:val="true"/>
      </w:trPr>
      <w:tc>
        <w:tcPr>
          <w:tcW w:w="1260" w:type="dxa"/>
          <w:vMerge w:val="continue"/>
          <w:tcBorders>
            <w:left w:val="single" w:sz="12" w:space="0" w:color="C0C0C0"/>
          </w:tcBorders>
        </w:tcPr>
        <w:p>
          <w:pPr>
            <w:pStyle w:val="Header"/>
            <w:spacing w:before="120" w:after="0"/>
            <w:jc w:val="center"/>
            <w:rPr>
              <w:sz w:val="20"/>
            </w:rPr>
          </w:pPr>
          <w:r>
            <w:rPr>
              <w:sz w:val="20"/>
            </w:rPr>
          </w:r>
        </w:p>
      </w:tc>
      <w:tc>
        <w:tcPr>
          <w:tcW w:w="6516" w:type="dxa"/>
          <w:vMerge w:val="continue"/>
          <w:tcBorders/>
        </w:tcPr>
        <w:p>
          <w:pPr>
            <w:pStyle w:val="Header"/>
            <w:spacing w:before="120" w:after="0"/>
            <w:jc w:val="center"/>
            <w:rPr>
              <w:sz w:val="20"/>
            </w:rPr>
          </w:pPr>
          <w:r>
            <w:rPr>
              <w:sz w:val="20"/>
            </w:rPr>
          </w:r>
        </w:p>
      </w:tc>
      <w:tc>
        <w:tcPr>
          <w:tcW w:w="1134" w:type="dxa"/>
          <w:tcBorders>
            <w:top w:val="single" w:sz="12" w:space="0" w:color="C0C0C0"/>
            <w:left w:val="single" w:sz="12" w:space="0" w:color="C0C0C0"/>
            <w:bottom w:val="single" w:sz="12" w:space="0" w:color="C0C0C0"/>
          </w:tcBorders>
        </w:tcPr>
        <w:p>
          <w:pPr>
            <w:pStyle w:val="Header"/>
            <w:spacing w:before="120" w:after="0"/>
            <w:jc w:val="right"/>
            <w:rPr>
              <w:b/>
              <w:b/>
              <w:caps/>
              <w:sz w:val="20"/>
            </w:rPr>
          </w:pPr>
          <w:r>
            <w:rPr>
              <w:sz w:val="20"/>
            </w:rPr>
            <w:t xml:space="preserve">Sheet </w:t>
          </w:r>
          <w:r>
            <w:rPr>
              <w:rStyle w:val="Pagenumber"/>
              <w:sz w:val="20"/>
            </w:rPr>
            <w:fldChar w:fldCharType="begin"/>
          </w:r>
          <w:r>
            <w:rPr>
              <w:rStyle w:val="Pagenumber"/>
              <w:sz w:val="20"/>
            </w:rPr>
            <w:instrText> PAGE </w:instrText>
          </w:r>
          <w:r>
            <w:rPr>
              <w:rStyle w:val="Pagenumber"/>
              <w:sz w:val="20"/>
            </w:rPr>
            <w:fldChar w:fldCharType="separate"/>
          </w:r>
          <w:r>
            <w:rPr>
              <w:rStyle w:val="Pagenumber"/>
              <w:sz w:val="20"/>
            </w:rPr>
            <w:t>5</w:t>
          </w:r>
          <w:r>
            <w:rPr>
              <w:rStyle w:val="Pagenumber"/>
              <w:sz w:val="20"/>
            </w:rPr>
            <w:fldChar w:fldCharType="end"/>
          </w:r>
        </w:p>
      </w:tc>
      <w:tc>
        <w:tcPr>
          <w:tcW w:w="486" w:type="dxa"/>
          <w:tcBorders>
            <w:top w:val="single" w:sz="12" w:space="0" w:color="C0C0C0"/>
            <w:bottom w:val="single" w:sz="12" w:space="0" w:color="C0C0C0"/>
          </w:tcBorders>
        </w:tcPr>
        <w:p>
          <w:pPr>
            <w:pStyle w:val="Header"/>
            <w:spacing w:before="120" w:after="0"/>
            <w:jc w:val="center"/>
            <w:rPr>
              <w:b/>
              <w:b/>
              <w:caps/>
              <w:sz w:val="20"/>
            </w:rPr>
          </w:pPr>
          <w:r>
            <w:rPr>
              <w:sz w:val="20"/>
            </w:rPr>
            <w:t>of</w:t>
          </w:r>
        </w:p>
      </w:tc>
      <w:tc>
        <w:tcPr>
          <w:tcW w:w="504" w:type="dxa"/>
          <w:tcBorders>
            <w:top w:val="single" w:sz="12" w:space="0" w:color="C0C0C0"/>
            <w:bottom w:val="single" w:sz="12" w:space="0" w:color="C0C0C0"/>
            <w:right w:val="single" w:sz="12" w:space="0" w:color="C0C0C0"/>
          </w:tcBorders>
        </w:tcPr>
        <w:p>
          <w:pPr>
            <w:pStyle w:val="Header"/>
            <w:spacing w:before="120" w:after="0"/>
            <w:jc w:val="left"/>
            <w:rPr>
              <w:b/>
              <w:b/>
              <w:caps/>
              <w:sz w:val="20"/>
            </w:rPr>
          </w:pPr>
          <w:r>
            <w:rPr>
              <w:rStyle w:val="Pagenumber"/>
              <w:sz w:val="20"/>
            </w:rPr>
            <w:fldChar w:fldCharType="begin"/>
          </w:r>
          <w:r>
            <w:rPr>
              <w:rStyle w:val="Pagenumber"/>
              <w:sz w:val="20"/>
            </w:rPr>
            <w:instrText> NUMPAGES </w:instrText>
          </w:r>
          <w:r>
            <w:rPr>
              <w:rStyle w:val="Pagenumber"/>
              <w:sz w:val="20"/>
            </w:rPr>
            <w:fldChar w:fldCharType="separate"/>
          </w:r>
          <w:r>
            <w:rPr>
              <w:rStyle w:val="Pagenumber"/>
              <w:sz w:val="20"/>
            </w:rPr>
            <w:t>5</w:t>
          </w:r>
          <w:r>
            <w:rPr>
              <w:rStyle w:val="Pagenumber"/>
              <w:sz w:val="20"/>
            </w:rPr>
            <w:fldChar w:fldCharType="end"/>
          </w:r>
        </w:p>
      </w:tc>
    </w:tr>
    <w:tr>
      <w:trPr>
        <w:trHeight w:val="611" w:hRule="atLeast"/>
        <w:cantSplit w:val="true"/>
      </w:trPr>
      <w:tc>
        <w:tcPr>
          <w:tcW w:w="9900" w:type="dxa"/>
          <w:gridSpan w:val="5"/>
          <w:tcBorders>
            <w:top w:val="single" w:sz="12" w:space="0" w:color="C0C0C0"/>
            <w:left w:val="single" w:sz="12" w:space="0" w:color="C0C0C0"/>
            <w:bottom w:val="single" w:sz="12" w:space="0" w:color="C0C0C0"/>
            <w:right w:val="single" w:sz="12" w:space="0" w:color="C0C0C0"/>
          </w:tcBorders>
          <w:vAlign w:val="center"/>
        </w:tcPr>
        <w:p>
          <w:pPr>
            <w:pStyle w:val="Normal"/>
            <w:jc w:val="center"/>
            <w:rPr>
              <w:b/>
              <w:b/>
              <w:sz w:val="32"/>
            </w:rPr>
          </w:pPr>
          <w:r>
            <w:rPr>
              <w:b/>
              <w:sz w:val="32"/>
            </w:rPr>
            <w:t>A+ LIGO Beam Splitter Coating Specification</w:t>
          </w:r>
        </w:p>
      </w:tc>
    </w:tr>
  </w:tbl>
  <w:p>
    <w:pPr>
      <w:pStyle w:val="Normal"/>
      <w:rPr>
        <w:sz w:val="16"/>
      </w:rPr>
    </w:pPr>
    <w:r>
      <w:rPr>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decimal"/>
      <w:lvlText w:val="%1.%2"/>
      <w:lvlJc w:val="left"/>
      <w:pPr>
        <w:tabs>
          <w:tab w:val="num" w:pos="576"/>
        </w:tabs>
        <w:ind w:left="576" w:hanging="576"/>
      </w:p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20"/>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b/>
      <w:kern w:val="2"/>
      <w:sz w:val="28"/>
    </w:rPr>
  </w:style>
  <w:style w:type="paragraph" w:styleId="Heading2">
    <w:name w:val="Heading 2"/>
    <w:basedOn w:val="Normal"/>
    <w:next w:val="Normal"/>
    <w:qFormat/>
    <w:pPr>
      <w:keepNext w:val="true"/>
      <w:numPr>
        <w:ilvl w:val="1"/>
        <w:numId w:val="1"/>
      </w:numPr>
      <w:jc w:val="center"/>
      <w:outlineLvl w:val="1"/>
    </w:pPr>
    <w:rPr>
      <w:sz w:val="32"/>
    </w:rPr>
  </w:style>
  <w:style w:type="paragraph" w:styleId="Heading3">
    <w:name w:val="Heading 3"/>
    <w:basedOn w:val="Normal"/>
    <w:next w:val="Normal"/>
    <w:qFormat/>
    <w:pPr>
      <w:keepNext w:val="true"/>
      <w:numPr>
        <w:ilvl w:val="2"/>
        <w:numId w:val="1"/>
      </w:numPr>
      <w:spacing w:before="240" w:after="60"/>
      <w:outlineLvl w:val="2"/>
    </w:pPr>
    <w:rPr>
      <w:rFonts w:ascii="Arial" w:hAnsi="Arial"/>
      <w:sz w:val="24"/>
    </w:rPr>
  </w:style>
  <w:style w:type="paragraph" w:styleId="Heading4">
    <w:name w:val="Heading 4"/>
    <w:basedOn w:val="Normal"/>
    <w:next w:val="Normal"/>
    <w:qFormat/>
    <w:pPr>
      <w:keepNext w:val="true"/>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Annotationreference">
    <w:name w:val="annotation reference"/>
    <w:semiHidden/>
    <w:qFormat/>
    <w:rsid w:val="00070d74"/>
    <w:rPr>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20"/>
    </w:pPr>
    <w:rPr/>
  </w:style>
  <w:style w:type="paragraph" w:styleId="List">
    <w:name w:val="List"/>
    <w:basedOn w:val="Normal"/>
    <w:pPr>
      <w:ind w:left="360" w:hanging="36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spacing w:before="120" w:after="0"/>
      <w:jc w:val="both"/>
    </w:pPr>
    <w:rPr>
      <w:sz w:val="24"/>
    </w:rPr>
  </w:style>
  <w:style w:type="paragraph" w:styleId="Footer">
    <w:name w:val="Footer"/>
    <w:basedOn w:val="Normal"/>
    <w:pPr>
      <w:tabs>
        <w:tab w:val="clear" w:pos="720"/>
        <w:tab w:val="center" w:pos="4320" w:leader="none"/>
        <w:tab w:val="right" w:pos="8640" w:leader="none"/>
      </w:tabs>
    </w:pPr>
    <w:rPr/>
  </w:style>
  <w:style w:type="paragraph" w:styleId="Caption1">
    <w:name w:val="caption"/>
    <w:basedOn w:val="Normal"/>
    <w:next w:val="Normal"/>
    <w:qFormat/>
    <w:pPr>
      <w:spacing w:before="120" w:after="120"/>
    </w:pPr>
    <w:rPr>
      <w:b/>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xtBody"/>
    <w:qFormat/>
    <w:pPr>
      <w:ind w:firstLine="210"/>
    </w:pPr>
    <w:rPr/>
  </w:style>
  <w:style w:type="paragraph" w:styleId="TextBodyIndent">
    <w:name w:val="Body Text Indent"/>
    <w:basedOn w:val="Normal"/>
    <w:pPr>
      <w:spacing w:before="0" w:after="120"/>
      <w:ind w:left="360" w:hanging="0"/>
    </w:pPr>
    <w:rPr/>
  </w:style>
  <w:style w:type="paragraph" w:styleId="BodyTextFirstIndent2">
    <w:name w:val="Body Text First Indent 2"/>
    <w:basedOn w:val="TextBodyIndent"/>
    <w:qFormat/>
    <w:pPr>
      <w:ind w:left="360" w:firstLine="210"/>
    </w:pPr>
    <w:rPr/>
  </w:style>
  <w:style w:type="paragraph" w:styleId="BodyTextIndent2">
    <w:name w:val="Body Text Indent 2"/>
    <w:basedOn w:val="Normal"/>
    <w:qFormat/>
    <w:pPr>
      <w:spacing w:lineRule="auto" w:line="480" w:before="0" w:after="120"/>
      <w:ind w:left="360" w:hanging="0"/>
    </w:pPr>
    <w:rPr/>
  </w:style>
  <w:style w:type="paragraph" w:styleId="BodyTextIndent3">
    <w:name w:val="Body Text Indent 3"/>
    <w:basedOn w:val="Normal"/>
    <w:qFormat/>
    <w:pPr>
      <w:spacing w:before="0" w:after="120"/>
      <w:ind w:left="360" w:hanging="0"/>
    </w:pPr>
    <w:rPr>
      <w:sz w:val="16"/>
    </w:rPr>
  </w:style>
  <w:style w:type="paragraph" w:styleId="Closing">
    <w:name w:val="Closing"/>
    <w:basedOn w:val="Normal"/>
    <w:qFormat/>
    <w:pPr>
      <w:ind w:left="4320" w:hanging="0"/>
    </w:pPr>
    <w:rPr/>
  </w:style>
  <w:style w:type="paragraph" w:styleId="Annotationtext">
    <w:name w:val="annotation text"/>
    <w:basedOn w:val="Normal"/>
    <w:semiHidden/>
    <w:qFormat/>
    <w:pPr/>
    <w:rPr/>
  </w:style>
  <w:style w:type="paragraph" w:styleId="Date">
    <w:name w:val="Date"/>
    <w:basedOn w:val="Normal"/>
    <w:next w:val="Normal"/>
    <w:qFormat/>
    <w:pPr/>
    <w:rPr/>
  </w:style>
  <w:style w:type="paragraph" w:styleId="DocumentMap">
    <w:name w:val="Document Map"/>
    <w:basedOn w:val="Normal"/>
    <w:semiHidden/>
    <w:qFormat/>
    <w:pPr>
      <w:shd w:val="clear" w:color="auto" w:fill="000080"/>
    </w:pPr>
    <w:rPr>
      <w:rFonts w:ascii="Tahoma" w:hAnsi="Tahoma"/>
    </w:rPr>
  </w:style>
  <w:style w:type="paragraph" w:styleId="Endnote">
    <w:name w:val="Endnote Text"/>
    <w:basedOn w:val="Normal"/>
    <w:semiHidden/>
    <w:pPr/>
    <w:rPr/>
  </w:style>
  <w:style w:type="paragraph" w:styleId="Envelopeaddress">
    <w:name w:val="envelope address"/>
    <w:basedOn w:val="Normal"/>
    <w:qFormat/>
    <w:pPr>
      <w:ind w:left="2880" w:hanging="0"/>
    </w:pPr>
    <w:rPr>
      <w:rFonts w:ascii="Arial" w:hAnsi="Arial"/>
      <w:sz w:val="24"/>
    </w:rPr>
  </w:style>
  <w:style w:type="paragraph" w:styleId="Envelopereturn">
    <w:name w:val="envelope return"/>
    <w:basedOn w:val="Normal"/>
    <w:qFormat/>
    <w:pPr/>
    <w:rPr>
      <w:rFonts w:ascii="Arial" w:hAnsi="Arial"/>
    </w:rPr>
  </w:style>
  <w:style w:type="paragraph" w:styleId="Footnote">
    <w:name w:val="Footnote Text"/>
    <w:basedOn w:val="Normal"/>
    <w:semiHidden/>
    <w:pPr/>
    <w:rPr/>
  </w:style>
  <w:style w:type="paragraph" w:styleId="Index1">
    <w:name w:val="index 1"/>
    <w:basedOn w:val="Normal"/>
    <w:next w:val="Normal"/>
    <w:autoRedefine/>
    <w:semiHidden/>
    <w:qFormat/>
    <w:pPr>
      <w:ind w:left="200" w:hanging="200"/>
    </w:pPr>
    <w:rPr/>
  </w:style>
  <w:style w:type="paragraph" w:styleId="Index2">
    <w:name w:val="index 2"/>
    <w:basedOn w:val="Normal"/>
    <w:next w:val="Normal"/>
    <w:autoRedefine/>
    <w:semiHidden/>
    <w:qFormat/>
    <w:pPr>
      <w:ind w:left="400" w:hanging="200"/>
    </w:pPr>
    <w:rPr/>
  </w:style>
  <w:style w:type="paragraph" w:styleId="Index3">
    <w:name w:val="index 3"/>
    <w:basedOn w:val="Normal"/>
    <w:next w:val="Normal"/>
    <w:autoRedefine/>
    <w:semiHidden/>
    <w:qFormat/>
    <w:pPr>
      <w:ind w:left="600" w:hanging="200"/>
    </w:pPr>
    <w:rPr/>
  </w:style>
  <w:style w:type="paragraph" w:styleId="Index4">
    <w:name w:val="index 4"/>
    <w:basedOn w:val="Normal"/>
    <w:next w:val="Normal"/>
    <w:autoRedefine/>
    <w:semiHidden/>
    <w:qFormat/>
    <w:pPr>
      <w:ind w:left="800" w:hanging="200"/>
    </w:pPr>
    <w:rPr/>
  </w:style>
  <w:style w:type="paragraph" w:styleId="Index5">
    <w:name w:val="index 5"/>
    <w:basedOn w:val="Normal"/>
    <w:next w:val="Normal"/>
    <w:autoRedefine/>
    <w:semiHidden/>
    <w:qFormat/>
    <w:pPr>
      <w:ind w:left="1000" w:hanging="200"/>
    </w:pPr>
    <w:rPr/>
  </w:style>
  <w:style w:type="paragraph" w:styleId="Index6">
    <w:name w:val="index 6"/>
    <w:basedOn w:val="Normal"/>
    <w:next w:val="Normal"/>
    <w:autoRedefine/>
    <w:semiHidden/>
    <w:qFormat/>
    <w:pPr>
      <w:ind w:left="1200" w:hanging="200"/>
    </w:pPr>
    <w:rPr/>
  </w:style>
  <w:style w:type="paragraph" w:styleId="Index7">
    <w:name w:val="index 7"/>
    <w:basedOn w:val="Normal"/>
    <w:next w:val="Normal"/>
    <w:autoRedefine/>
    <w:semiHidden/>
    <w:qFormat/>
    <w:pPr>
      <w:ind w:left="1400" w:hanging="200"/>
    </w:pPr>
    <w:rPr/>
  </w:style>
  <w:style w:type="paragraph" w:styleId="Index8">
    <w:name w:val="index 8"/>
    <w:basedOn w:val="Normal"/>
    <w:next w:val="Normal"/>
    <w:autoRedefine/>
    <w:semiHidden/>
    <w:qFormat/>
    <w:pPr>
      <w:ind w:left="1600" w:hanging="200"/>
    </w:pPr>
    <w:rPr/>
  </w:style>
  <w:style w:type="paragraph" w:styleId="Index9">
    <w:name w:val="index 9"/>
    <w:basedOn w:val="Normal"/>
    <w:next w:val="Normal"/>
    <w:autoRedefine/>
    <w:semiHidden/>
    <w:qFormat/>
    <w:pPr>
      <w:ind w:left="1800" w:hanging="200"/>
    </w:pPr>
    <w:rPr/>
  </w:style>
  <w:style w:type="paragraph" w:styleId="Indexheading">
    <w:name w:val="index heading"/>
    <w:basedOn w:val="Normal"/>
    <w:next w:val="Index1"/>
    <w:semiHidden/>
    <w:qFormat/>
    <w:pPr/>
    <w:rPr>
      <w:rFonts w:ascii="Arial" w:hAnsi="Arial"/>
      <w:b/>
    </w:rPr>
  </w:style>
  <w:style w:type="paragraph" w:styleId="List2">
    <w:name w:val="List Bullet 3"/>
    <w:basedOn w:val="Normal"/>
    <w:pPr>
      <w:ind w:left="720" w:hanging="360"/>
    </w:pPr>
    <w:rPr/>
  </w:style>
  <w:style w:type="paragraph" w:styleId="List3">
    <w:name w:val="List Bullet 4"/>
    <w:basedOn w:val="Normal"/>
    <w:pPr>
      <w:ind w:left="1080" w:hanging="360"/>
    </w:pPr>
    <w:rPr/>
  </w:style>
  <w:style w:type="paragraph" w:styleId="List4">
    <w:name w:val="List Bullet 5"/>
    <w:basedOn w:val="Normal"/>
    <w:pPr>
      <w:ind w:left="1440" w:hanging="360"/>
    </w:pPr>
    <w:rPr/>
  </w:style>
  <w:style w:type="paragraph" w:styleId="List5">
    <w:name w:val="List Number"/>
    <w:basedOn w:val="Normal"/>
    <w:pPr>
      <w:ind w:left="1800" w:hanging="360"/>
    </w:pPr>
    <w:rPr/>
  </w:style>
  <w:style w:type="paragraph" w:styleId="ListBullet">
    <w:name w:val="List Bullet"/>
    <w:basedOn w:val="Normal"/>
    <w:autoRedefine/>
    <w:qFormat/>
    <w:pPr/>
    <w:rPr/>
  </w:style>
  <w:style w:type="paragraph" w:styleId="ListBullet2">
    <w:name w:val="List Bullet 2"/>
    <w:basedOn w:val="Normal"/>
    <w:autoRedefine/>
    <w:qFormat/>
    <w:pPr/>
    <w:rPr/>
  </w:style>
  <w:style w:type="paragraph" w:styleId="ListBullet3">
    <w:name w:val="List Bullet 3"/>
    <w:basedOn w:val="Normal"/>
    <w:autoRedefine/>
    <w:qFormat/>
    <w:pPr/>
    <w:rPr/>
  </w:style>
  <w:style w:type="paragraph" w:styleId="ListBullet4">
    <w:name w:val="List Bullet 4"/>
    <w:basedOn w:val="Normal"/>
    <w:autoRedefine/>
    <w:qFormat/>
    <w:pPr/>
    <w:rPr/>
  </w:style>
  <w:style w:type="paragraph" w:styleId="ListBullet5">
    <w:name w:val="List Bullet 5"/>
    <w:basedOn w:val="Normal"/>
    <w:autoRedefine/>
    <w:qFormat/>
    <w:pPr/>
    <w:rPr/>
  </w:style>
  <w:style w:type="paragraph" w:styleId="ListContinue">
    <w:name w:val="List Continue"/>
    <w:basedOn w:val="Normal"/>
    <w:qFormat/>
    <w:pPr>
      <w:spacing w:before="0" w:after="120"/>
      <w:ind w:left="360" w:hanging="0"/>
    </w:pPr>
    <w:rPr/>
  </w:style>
  <w:style w:type="paragraph" w:styleId="ListContinue2">
    <w:name w:val="List Continue 2"/>
    <w:basedOn w:val="Normal"/>
    <w:qFormat/>
    <w:pPr>
      <w:spacing w:before="0" w:after="120"/>
      <w:ind w:left="720" w:hanging="0"/>
    </w:pPr>
    <w:rPr/>
  </w:style>
  <w:style w:type="paragraph" w:styleId="ListContinue3">
    <w:name w:val="List Continue 3"/>
    <w:basedOn w:val="Normal"/>
    <w:qFormat/>
    <w:pPr>
      <w:spacing w:before="0" w:after="120"/>
      <w:ind w:left="1080" w:hanging="0"/>
    </w:pPr>
    <w:rPr/>
  </w:style>
  <w:style w:type="paragraph" w:styleId="ListContinue4">
    <w:name w:val="List Continue 4"/>
    <w:basedOn w:val="Normal"/>
    <w:qFormat/>
    <w:pPr>
      <w:spacing w:before="0" w:after="120"/>
      <w:ind w:left="1440" w:hanging="0"/>
    </w:pPr>
    <w:rPr/>
  </w:style>
  <w:style w:type="paragraph" w:styleId="ListContinue5">
    <w:name w:val="List Continue 5"/>
    <w:basedOn w:val="Normal"/>
    <w:qFormat/>
    <w:pPr>
      <w:spacing w:before="0" w:after="120"/>
      <w:ind w:left="1800" w:hanging="0"/>
    </w:pPr>
    <w:rPr/>
  </w:style>
  <w:style w:type="paragraph" w:styleId="ListNumber">
    <w:name w:val="List Number"/>
    <w:basedOn w:val="Normal"/>
    <w:qFormat/>
    <w:pPr/>
    <w:rPr/>
  </w:style>
  <w:style w:type="paragraph" w:styleId="ListNumber2">
    <w:name w:val="List Number 2"/>
    <w:basedOn w:val="Normal"/>
    <w:qFormat/>
    <w:pPr/>
    <w:rPr/>
  </w:style>
  <w:style w:type="paragraph" w:styleId="ListNumber3">
    <w:name w:val="List Number 3"/>
    <w:basedOn w:val="Normal"/>
    <w:qFormat/>
    <w:pPr/>
    <w:rPr/>
  </w:style>
  <w:style w:type="paragraph" w:styleId="ListNumber4">
    <w:name w:val="List Number 4"/>
    <w:basedOn w:val="Normal"/>
    <w:qFormat/>
    <w:pPr/>
    <w:rPr/>
  </w:style>
  <w:style w:type="paragraph" w:styleId="ListNumber5">
    <w:name w:val="List Number 5"/>
    <w:basedOn w:val="Normal"/>
    <w:qFormat/>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urier New" w:hAnsi="Courier New" w:eastAsia="Times New Roman" w:cs="Times New Roman"/>
      <w:color w:val="auto"/>
      <w:kern w:val="0"/>
      <w:sz w:val="20"/>
      <w:szCs w:val="20"/>
      <w:lang w:val="en-US"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sz w:val="24"/>
    </w:rPr>
  </w:style>
  <w:style w:type="paragraph" w:styleId="NormalIndent">
    <w:name w:val="Normal Indent"/>
    <w:basedOn w:val="Normal"/>
    <w:qFormat/>
    <w:pPr>
      <w:ind w:left="720" w:hanging="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rPr>
  </w:style>
  <w:style w:type="paragraph" w:styleId="ComplimentaryClose">
    <w:name w:val="Salutation"/>
    <w:basedOn w:val="Normal"/>
    <w:next w:val="Normal"/>
    <w:pPr/>
    <w:rPr/>
  </w:style>
  <w:style w:type="paragraph" w:styleId="Signature">
    <w:name w:val="Signature"/>
    <w:basedOn w:val="Normal"/>
    <w:pPr>
      <w:ind w:left="4320" w:hanging="0"/>
    </w:pPr>
    <w:rPr/>
  </w:style>
  <w:style w:type="paragraph" w:styleId="Subtitle">
    <w:name w:val="Subtitle"/>
    <w:basedOn w:val="Normal"/>
    <w:qFormat/>
    <w:pPr>
      <w:spacing w:before="0" w:after="60"/>
      <w:jc w:val="center"/>
      <w:outlineLvl w:val="1"/>
    </w:pPr>
    <w:rPr>
      <w:rFonts w:ascii="Arial" w:hAnsi="Arial"/>
      <w:sz w:val="24"/>
    </w:rPr>
  </w:style>
  <w:style w:type="paragraph" w:styleId="Tableofauthorities">
    <w:name w:val="table of authorities"/>
    <w:basedOn w:val="Normal"/>
    <w:next w:val="Normal"/>
    <w:semiHidden/>
    <w:qFormat/>
    <w:pPr>
      <w:ind w:left="200" w:hanging="200"/>
    </w:pPr>
    <w:rPr/>
  </w:style>
  <w:style w:type="paragraph" w:styleId="Tableoffigures">
    <w:name w:val="table of figures"/>
    <w:basedOn w:val="Normal"/>
    <w:next w:val="Normal"/>
    <w:semiHidden/>
    <w:qFormat/>
    <w:pPr>
      <w:ind w:left="400" w:hanging="400"/>
    </w:pPr>
    <w:rPr/>
  </w:style>
  <w:style w:type="paragraph" w:styleId="Title">
    <w:name w:val="Title"/>
    <w:basedOn w:val="Normal"/>
    <w:qFormat/>
    <w:pPr>
      <w:spacing w:before="240" w:after="60"/>
      <w:jc w:val="center"/>
      <w:outlineLvl w:val="0"/>
    </w:pPr>
    <w:rPr>
      <w:rFonts w:ascii="Arial" w:hAnsi="Arial"/>
      <w:b/>
      <w:kern w:val="2"/>
      <w:sz w:val="32"/>
    </w:rPr>
  </w:style>
  <w:style w:type="paragraph" w:styleId="Toaheading">
    <w:name w:val="toa heading"/>
    <w:basedOn w:val="Normal"/>
    <w:next w:val="Normal"/>
    <w:semiHidden/>
    <w:qFormat/>
    <w:pPr>
      <w:spacing w:before="120" w:after="0"/>
    </w:pPr>
    <w:rPr>
      <w:rFonts w:ascii="Arial" w:hAnsi="Arial"/>
      <w:b/>
      <w:sz w:val="24"/>
    </w:rPr>
  </w:style>
  <w:style w:type="paragraph" w:styleId="Contents1">
    <w:name w:val="TOC 1"/>
    <w:basedOn w:val="Normal"/>
    <w:next w:val="Normal"/>
    <w:autoRedefine/>
    <w:semiHidden/>
    <w:pPr/>
    <w:rPr/>
  </w:style>
  <w:style w:type="paragraph" w:styleId="Contents2">
    <w:name w:val="TOC 2"/>
    <w:basedOn w:val="Normal"/>
    <w:next w:val="Normal"/>
    <w:autoRedefine/>
    <w:semiHidden/>
    <w:pPr>
      <w:ind w:left="200" w:hanging="0"/>
    </w:pPr>
    <w:rPr/>
  </w:style>
  <w:style w:type="paragraph" w:styleId="Contents3">
    <w:name w:val="TOC 3"/>
    <w:basedOn w:val="Normal"/>
    <w:next w:val="Normal"/>
    <w:autoRedefine/>
    <w:semiHidden/>
    <w:pPr>
      <w:ind w:left="400" w:hanging="0"/>
    </w:pPr>
    <w:rPr/>
  </w:style>
  <w:style w:type="paragraph" w:styleId="Contents4">
    <w:name w:val="TOC 4"/>
    <w:basedOn w:val="Normal"/>
    <w:next w:val="Normal"/>
    <w:autoRedefine/>
    <w:semiHidden/>
    <w:pPr>
      <w:ind w:left="600" w:hanging="0"/>
    </w:pPr>
    <w:rPr/>
  </w:style>
  <w:style w:type="paragraph" w:styleId="Contents5">
    <w:name w:val="TOC 5"/>
    <w:basedOn w:val="Normal"/>
    <w:next w:val="Normal"/>
    <w:autoRedefine/>
    <w:semiHidden/>
    <w:pPr>
      <w:ind w:left="800" w:hanging="0"/>
    </w:pPr>
    <w:rPr/>
  </w:style>
  <w:style w:type="paragraph" w:styleId="Contents6">
    <w:name w:val="TOC 6"/>
    <w:basedOn w:val="Normal"/>
    <w:next w:val="Normal"/>
    <w:autoRedefine/>
    <w:semiHidden/>
    <w:pPr>
      <w:ind w:left="1000" w:hanging="0"/>
    </w:pPr>
    <w:rPr/>
  </w:style>
  <w:style w:type="paragraph" w:styleId="Contents7">
    <w:name w:val="TOC 7"/>
    <w:basedOn w:val="Normal"/>
    <w:next w:val="Normal"/>
    <w:autoRedefine/>
    <w:semiHidden/>
    <w:pPr>
      <w:ind w:left="1200" w:hanging="0"/>
    </w:pPr>
    <w:rPr/>
  </w:style>
  <w:style w:type="paragraph" w:styleId="Contents8">
    <w:name w:val="TOC 8"/>
    <w:basedOn w:val="Normal"/>
    <w:next w:val="Normal"/>
    <w:autoRedefine/>
    <w:semiHidden/>
    <w:pPr>
      <w:ind w:left="1400" w:hanging="0"/>
    </w:pPr>
    <w:rPr/>
  </w:style>
  <w:style w:type="paragraph" w:styleId="Contents9">
    <w:name w:val="TOC 9"/>
    <w:basedOn w:val="Normal"/>
    <w:next w:val="Normal"/>
    <w:autoRedefine/>
    <w:semiHidden/>
    <w:pPr>
      <w:ind w:left="1600" w:hanging="0"/>
    </w:pPr>
    <w:rPr/>
  </w:style>
  <w:style w:type="paragraph" w:styleId="EmailSignature">
    <w:name w:val="E-mail Signature"/>
    <w:basedOn w:val="Normal"/>
    <w:qFormat/>
    <w:pPr/>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rPr>
  </w:style>
  <w:style w:type="paragraph" w:styleId="NormalWeb">
    <w:name w:val="Normal (Web)"/>
    <w:basedOn w:val="Normal"/>
    <w:qFormat/>
    <w:pPr/>
    <w:rPr>
      <w:sz w:val="24"/>
      <w:szCs w:val="24"/>
    </w:rPr>
  </w:style>
  <w:style w:type="paragraph" w:styleId="Default" w:customStyle="1">
    <w:name w:val="Default"/>
    <w:qFormat/>
    <w:rsid w:val="00475593"/>
    <w:pPr>
      <w:widowControl w:val="false"/>
      <w:bidi w:val="0"/>
      <w:spacing w:before="0" w:after="0"/>
      <w:jc w:val="left"/>
    </w:pPr>
    <w:rPr>
      <w:rFonts w:ascii="Arial Narrow" w:hAnsi="Arial Narrow" w:cs="Arial Narrow" w:eastAsia="Times New Roman"/>
      <w:color w:val="000000"/>
      <w:kern w:val="0"/>
      <w:sz w:val="24"/>
      <w:szCs w:val="24"/>
      <w:lang w:val="en-US" w:eastAsia="en-US" w:bidi="ar-SA"/>
    </w:rPr>
  </w:style>
  <w:style w:type="paragraph" w:styleId="Annotationsubject">
    <w:name w:val="annotation subject"/>
    <w:basedOn w:val="Annotationtext"/>
    <w:next w:val="Annotationtext"/>
    <w:semiHidden/>
    <w:qFormat/>
    <w:rsid w:val="00070d74"/>
    <w:pPr/>
    <w:rPr>
      <w:b/>
      <w:bCs/>
    </w:rPr>
  </w:style>
  <w:style w:type="paragraph" w:styleId="BalloonText">
    <w:name w:val="Balloon Text"/>
    <w:basedOn w:val="Normal"/>
    <w:semiHidden/>
    <w:qFormat/>
    <w:rsid w:val="00070d74"/>
    <w:pPr/>
    <w:rPr>
      <w:rFonts w:ascii="Tahoma" w:hAnsi="Tahoma" w:cs="Tahoma"/>
      <w:sz w:val="16"/>
      <w:szCs w:val="16"/>
    </w:rPr>
  </w:style>
  <w:style w:type="paragraph" w:styleId="Heading21" w:customStyle="1">
    <w:name w:val="Heading2"/>
    <w:basedOn w:val="Normal"/>
    <w:qFormat/>
    <w:rsid w:val="008b7a72"/>
    <w:pPr>
      <w:keepNext w:val="true"/>
      <w:overflowPunct w:val="true"/>
      <w:spacing w:before="240" w:after="60"/>
      <w:textAlignment w:val="baseline"/>
    </w:pPr>
    <w:rPr>
      <w:b/>
      <w:color w:val="000000"/>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Elegant">
    <w:name w:val="Table Elegant"/>
    <w:basedOn w:val="TableNormal"/>
    <w:rsid w:val="009f56c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rsid w:val="00b45e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5</Pages>
  <Words>1009</Words>
  <Characters>5342</Characters>
  <CharactersWithSpaces>6256</CharactersWithSpaces>
  <Paragraphs>162</Paragraphs>
  <Company>Cal Tech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2022-01-27T17:52:00Z</dcterms:created>
  <dc:creator>GariLynn Billingsley</dc:creator>
  <dc:description/>
  <dc:language>en-GB</dc:language>
  <cp:lastModifiedBy/>
  <cp:lastPrinted>2022-01-27T17:52:00Z</cp:lastPrinted>
  <dcterms:modified xsi:type="dcterms:W3CDTF">2022-02-02T14:43:23Z</dcterms:modified>
  <cp:revision>3</cp:revision>
  <dc:subject/>
  <dc:title>APPROVALS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Cal Tech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