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B2" w:rsidRPr="00A33A9A" w:rsidRDefault="005F48B2">
      <w:pPr>
        <w:pStyle w:val="PlainText"/>
        <w:jc w:val="center"/>
        <w:rPr>
          <w:rFonts w:ascii="Arial" w:hAnsi="Arial" w:cs="Arial"/>
          <w:i/>
          <w:szCs w:val="24"/>
        </w:rPr>
      </w:pPr>
    </w:p>
    <w:p w:rsidR="005F48B2" w:rsidRPr="00A33A9A" w:rsidRDefault="005F48B2">
      <w:pPr>
        <w:pStyle w:val="PlainText"/>
        <w:jc w:val="center"/>
        <w:rPr>
          <w:rFonts w:ascii="Arial" w:hAnsi="Arial" w:cs="Arial"/>
          <w:i/>
          <w:szCs w:val="24"/>
        </w:rPr>
      </w:pPr>
      <w:r w:rsidRPr="00A33A9A">
        <w:rPr>
          <w:rFonts w:ascii="Arial" w:hAnsi="Arial" w:cs="Arial"/>
          <w:i/>
          <w:szCs w:val="24"/>
        </w:rPr>
        <w:t>LIGO Laboratory / LIGO Scientific Collaboration</w:t>
      </w:r>
    </w:p>
    <w:p w:rsidR="005F48B2" w:rsidRPr="00A33A9A" w:rsidRDefault="005F48B2">
      <w:pPr>
        <w:pStyle w:val="PlainText"/>
        <w:jc w:val="center"/>
        <w:rPr>
          <w:rFonts w:ascii="Arial" w:hAnsi="Arial" w:cs="Arial"/>
          <w:szCs w:val="24"/>
        </w:rPr>
      </w:pPr>
    </w:p>
    <w:p w:rsidR="005F48B2" w:rsidRPr="00A33A9A" w:rsidRDefault="005F48B2">
      <w:pPr>
        <w:pStyle w:val="PlainText"/>
        <w:jc w:val="left"/>
        <w:rPr>
          <w:rFonts w:ascii="Arial" w:hAnsi="Arial" w:cs="Arial"/>
          <w:szCs w:val="24"/>
        </w:rPr>
      </w:pPr>
    </w:p>
    <w:p w:rsidR="005F48B2" w:rsidRPr="00A33A9A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  <w:rPr>
          <w:rFonts w:ascii="Arial" w:hAnsi="Arial" w:cs="Arial"/>
          <w:szCs w:val="24"/>
        </w:rPr>
      </w:pPr>
      <w:r w:rsidRPr="00A33A9A">
        <w:rPr>
          <w:rFonts w:ascii="Arial" w:hAnsi="Arial" w:cs="Arial"/>
          <w:szCs w:val="24"/>
        </w:rPr>
        <w:t>LIGO-</w:t>
      </w:r>
      <w:r w:rsidR="000F0224" w:rsidRPr="000F0224">
        <w:t xml:space="preserve"> </w:t>
      </w:r>
      <w:r w:rsidR="000F0224" w:rsidRPr="000F0224">
        <w:rPr>
          <w:rFonts w:ascii="Arial" w:hAnsi="Arial" w:cs="Arial"/>
          <w:szCs w:val="24"/>
        </w:rPr>
        <w:t>E1700309</w:t>
      </w:r>
      <w:r w:rsidR="00F5292B" w:rsidRPr="000F0224">
        <w:rPr>
          <w:rFonts w:ascii="Arial" w:hAnsi="Arial" w:cs="Arial"/>
          <w:szCs w:val="24"/>
        </w:rPr>
        <w:t>-v</w:t>
      </w:r>
      <w:r w:rsidR="00C60782">
        <w:rPr>
          <w:rFonts w:ascii="Arial" w:hAnsi="Arial" w:cs="Arial"/>
          <w:szCs w:val="24"/>
        </w:rPr>
        <w:t>3</w:t>
      </w:r>
      <w:r w:rsidR="005F48B2" w:rsidRPr="00A33A9A">
        <w:rPr>
          <w:rFonts w:ascii="Arial" w:hAnsi="Arial" w:cs="Arial"/>
          <w:szCs w:val="24"/>
        </w:rPr>
        <w:tab/>
      </w:r>
      <w:r w:rsidR="005F48B2" w:rsidRPr="00A33A9A">
        <w:rPr>
          <w:rFonts w:ascii="Arial" w:hAnsi="Arial" w:cs="Arial"/>
          <w:i/>
          <w:iCs/>
          <w:color w:val="0000FF"/>
          <w:szCs w:val="24"/>
        </w:rPr>
        <w:t>LIGO</w:t>
      </w:r>
      <w:r w:rsidR="005F48B2" w:rsidRPr="00A33A9A">
        <w:rPr>
          <w:rFonts w:ascii="Arial" w:hAnsi="Arial" w:cs="Arial"/>
          <w:szCs w:val="24"/>
        </w:rPr>
        <w:tab/>
      </w:r>
      <w:r w:rsidR="00BD2D57">
        <w:rPr>
          <w:rFonts w:ascii="Arial" w:hAnsi="Arial" w:cs="Arial"/>
          <w:szCs w:val="24"/>
        </w:rPr>
        <w:t>3</w:t>
      </w:r>
      <w:r w:rsidR="00A33A9A" w:rsidRPr="00A33A9A">
        <w:rPr>
          <w:rFonts w:ascii="Arial" w:hAnsi="Arial" w:cs="Arial"/>
          <w:szCs w:val="24"/>
        </w:rPr>
        <w:t>/</w:t>
      </w:r>
      <w:r w:rsidR="00C60782">
        <w:rPr>
          <w:rFonts w:ascii="Arial" w:hAnsi="Arial" w:cs="Arial"/>
          <w:szCs w:val="24"/>
        </w:rPr>
        <w:t>23</w:t>
      </w:r>
      <w:r w:rsidR="00A33A9A" w:rsidRPr="00A33A9A">
        <w:rPr>
          <w:rFonts w:ascii="Arial" w:hAnsi="Arial" w:cs="Arial"/>
          <w:szCs w:val="24"/>
        </w:rPr>
        <w:t>/201</w:t>
      </w:r>
      <w:r w:rsidR="00BD2D57">
        <w:rPr>
          <w:rFonts w:ascii="Arial" w:hAnsi="Arial" w:cs="Arial"/>
          <w:szCs w:val="24"/>
        </w:rPr>
        <w:t>8</w:t>
      </w:r>
    </w:p>
    <w:p w:rsidR="005F48B2" w:rsidRPr="00A33A9A" w:rsidRDefault="00502ED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_x0000_i1025" style="width:0;height:1.5pt" o:hralign="center" o:hrstd="t" o:hr="t" fillcolor="gray" stroked="f"/>
        </w:pict>
      </w:r>
    </w:p>
    <w:p w:rsidR="005F48B2" w:rsidRPr="00360C3D" w:rsidRDefault="00A33A9A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sz w:val="24"/>
          <w:szCs w:val="24"/>
          <w:u w:val="single"/>
        </w:rPr>
      </w:pPr>
      <w:r w:rsidRPr="00A33A9A">
        <w:rPr>
          <w:rFonts w:ascii="Arial" w:hAnsi="Arial" w:cs="Arial"/>
          <w:sz w:val="24"/>
          <w:szCs w:val="24"/>
        </w:rPr>
        <w:t xml:space="preserve">Procedure for handling, cleaning and baking </w:t>
      </w:r>
      <w:r w:rsidRPr="00396FE7">
        <w:rPr>
          <w:rFonts w:ascii="Arial" w:hAnsi="Arial" w:cs="Arial"/>
          <w:color w:val="FF0000"/>
          <w:sz w:val="24"/>
          <w:szCs w:val="24"/>
        </w:rPr>
        <w:t>DLC</w:t>
      </w:r>
      <w:r w:rsidRPr="00396FE7">
        <w:rPr>
          <w:rFonts w:ascii="Arial" w:hAnsi="Arial" w:cs="Arial"/>
          <w:color w:val="000000" w:themeColor="text1"/>
          <w:sz w:val="24"/>
          <w:szCs w:val="24"/>
        </w:rPr>
        <w:t xml:space="preserve"> coated </w:t>
      </w:r>
      <w:r w:rsidRPr="00396FE7">
        <w:rPr>
          <w:rFonts w:ascii="Arial" w:hAnsi="Arial" w:cs="Arial"/>
          <w:sz w:val="24"/>
          <w:szCs w:val="24"/>
        </w:rPr>
        <w:t>stray light baffles</w:t>
      </w:r>
    </w:p>
    <w:p w:rsidR="005F48B2" w:rsidRPr="00A33A9A" w:rsidRDefault="00502ED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_x0000_i1026" style="width:0;height:1.5pt" o:hralign="center" o:hrstd="t" o:hr="t" fillcolor="gray" stroked="f"/>
        </w:pict>
      </w:r>
    </w:p>
    <w:p w:rsidR="005F48B2" w:rsidRPr="00A33A9A" w:rsidRDefault="00A33A9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szCs w:val="24"/>
        </w:rPr>
      </w:pPr>
      <w:r w:rsidRPr="00A33A9A">
        <w:rPr>
          <w:rFonts w:ascii="Arial" w:hAnsi="Arial" w:cs="Arial"/>
          <w:szCs w:val="24"/>
        </w:rPr>
        <w:t xml:space="preserve">Alena Ananyeva and </w:t>
      </w:r>
      <w:proofErr w:type="spellStart"/>
      <w:r w:rsidRPr="00A33A9A">
        <w:rPr>
          <w:rFonts w:ascii="Arial" w:hAnsi="Arial" w:cs="Arial"/>
          <w:szCs w:val="24"/>
        </w:rPr>
        <w:t>Calum</w:t>
      </w:r>
      <w:proofErr w:type="spellEnd"/>
      <w:r w:rsidRPr="00A33A9A">
        <w:rPr>
          <w:rFonts w:ascii="Arial" w:hAnsi="Arial" w:cs="Arial"/>
          <w:szCs w:val="24"/>
        </w:rPr>
        <w:t xml:space="preserve"> Torrie</w:t>
      </w:r>
    </w:p>
    <w:p w:rsidR="005F48B2" w:rsidRPr="00A33A9A" w:rsidRDefault="005F48B2">
      <w:pPr>
        <w:pStyle w:val="PlainText"/>
        <w:spacing w:before="0"/>
        <w:jc w:val="center"/>
        <w:rPr>
          <w:rFonts w:ascii="Arial" w:hAnsi="Arial" w:cs="Arial"/>
          <w:szCs w:val="24"/>
        </w:rPr>
      </w:pPr>
    </w:p>
    <w:p w:rsidR="005F48B2" w:rsidRPr="00A33A9A" w:rsidRDefault="005F48B2">
      <w:pPr>
        <w:pStyle w:val="PlainText"/>
        <w:spacing w:before="0"/>
        <w:jc w:val="center"/>
        <w:rPr>
          <w:rFonts w:ascii="Arial" w:hAnsi="Arial" w:cs="Arial"/>
          <w:szCs w:val="24"/>
        </w:rPr>
      </w:pPr>
      <w:r w:rsidRPr="00A33A9A">
        <w:rPr>
          <w:rFonts w:ascii="Arial" w:hAnsi="Arial" w:cs="Arial"/>
          <w:szCs w:val="24"/>
        </w:rPr>
        <w:t>Distribution of this document:</w:t>
      </w:r>
    </w:p>
    <w:p w:rsidR="005F48B2" w:rsidRPr="00A33A9A" w:rsidRDefault="00E66298">
      <w:pPr>
        <w:pStyle w:val="PlainText"/>
        <w:spacing w:before="0"/>
        <w:jc w:val="center"/>
        <w:rPr>
          <w:rFonts w:ascii="Arial" w:hAnsi="Arial" w:cs="Arial"/>
          <w:szCs w:val="24"/>
        </w:rPr>
      </w:pPr>
      <w:r w:rsidRPr="00A33A9A">
        <w:rPr>
          <w:rFonts w:ascii="Arial" w:hAnsi="Arial" w:cs="Arial"/>
          <w:szCs w:val="24"/>
        </w:rPr>
        <w:t>LIGO Scientific</w:t>
      </w:r>
      <w:r w:rsidR="005F48B2" w:rsidRPr="00A33A9A">
        <w:rPr>
          <w:rFonts w:ascii="Arial" w:hAnsi="Arial" w:cs="Arial"/>
          <w:szCs w:val="24"/>
        </w:rPr>
        <w:t xml:space="preserve"> Collaboration</w:t>
      </w:r>
    </w:p>
    <w:p w:rsidR="005F48B2" w:rsidRPr="00A33A9A" w:rsidRDefault="005F48B2">
      <w:pPr>
        <w:pStyle w:val="PlainText"/>
        <w:spacing w:before="0"/>
        <w:jc w:val="center"/>
        <w:rPr>
          <w:rFonts w:ascii="Arial" w:hAnsi="Arial" w:cs="Arial"/>
          <w:szCs w:val="24"/>
        </w:rPr>
      </w:pPr>
    </w:p>
    <w:p w:rsidR="005F48B2" w:rsidRPr="00A33A9A" w:rsidRDefault="005F48B2">
      <w:pPr>
        <w:pStyle w:val="PlainText"/>
        <w:spacing w:before="0"/>
        <w:jc w:val="center"/>
        <w:rPr>
          <w:rFonts w:ascii="Arial" w:hAnsi="Arial" w:cs="Arial"/>
          <w:szCs w:val="24"/>
        </w:rPr>
      </w:pPr>
      <w:r w:rsidRPr="00A33A9A">
        <w:rPr>
          <w:rFonts w:ascii="Arial" w:hAnsi="Arial" w:cs="Arial"/>
          <w:szCs w:val="24"/>
        </w:rPr>
        <w:t>This is an internal working note</w:t>
      </w:r>
    </w:p>
    <w:p w:rsidR="005F48B2" w:rsidRPr="00A33A9A" w:rsidRDefault="00E66298">
      <w:pPr>
        <w:pStyle w:val="PlainText"/>
        <w:spacing w:before="0"/>
        <w:jc w:val="center"/>
        <w:rPr>
          <w:rFonts w:ascii="Arial" w:hAnsi="Arial" w:cs="Arial"/>
          <w:szCs w:val="24"/>
        </w:rPr>
      </w:pPr>
      <w:proofErr w:type="gramStart"/>
      <w:r w:rsidRPr="00A33A9A">
        <w:rPr>
          <w:rFonts w:ascii="Arial" w:hAnsi="Arial" w:cs="Arial"/>
          <w:szCs w:val="24"/>
        </w:rPr>
        <w:t>of</w:t>
      </w:r>
      <w:proofErr w:type="gramEnd"/>
      <w:r w:rsidRPr="00A33A9A">
        <w:rPr>
          <w:rFonts w:ascii="Arial" w:hAnsi="Arial" w:cs="Arial"/>
          <w:szCs w:val="24"/>
        </w:rPr>
        <w:t xml:space="preserve"> the LIGO Laboratory</w:t>
      </w:r>
      <w:r w:rsidR="005F48B2" w:rsidRPr="00A33A9A">
        <w:rPr>
          <w:rFonts w:ascii="Arial" w:hAnsi="Arial" w:cs="Arial"/>
          <w:szCs w:val="24"/>
        </w:rPr>
        <w:t>.</w:t>
      </w:r>
    </w:p>
    <w:p w:rsidR="005F48B2" w:rsidRPr="00A33A9A" w:rsidRDefault="005F48B2">
      <w:pPr>
        <w:pStyle w:val="PlainText"/>
        <w:spacing w:before="0"/>
        <w:jc w:val="left"/>
        <w:rPr>
          <w:rFonts w:ascii="Arial" w:hAnsi="Arial" w:cs="Arial"/>
          <w:szCs w:val="24"/>
        </w:rPr>
      </w:pPr>
    </w:p>
    <w:p w:rsidR="008E7496" w:rsidRPr="00A33A9A" w:rsidRDefault="008E7496">
      <w:pPr>
        <w:pStyle w:val="PlainText"/>
        <w:spacing w:before="0"/>
        <w:jc w:val="left"/>
        <w:rPr>
          <w:rFonts w:ascii="Arial" w:hAnsi="Arial" w:cs="Arial"/>
          <w:szCs w:val="24"/>
        </w:rPr>
      </w:pPr>
    </w:p>
    <w:p w:rsidR="008E7496" w:rsidRPr="00A33A9A" w:rsidRDefault="008E7496">
      <w:pPr>
        <w:pStyle w:val="PlainText"/>
        <w:spacing w:before="0"/>
        <w:jc w:val="left"/>
        <w:rPr>
          <w:rFonts w:ascii="Arial" w:hAnsi="Arial" w:cs="Arial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9"/>
        <w:gridCol w:w="4801"/>
      </w:tblGrid>
      <w:tr w:rsidR="005F48B2" w:rsidRPr="00A33A9A">
        <w:tc>
          <w:tcPr>
            <w:tcW w:w="4909" w:type="dxa"/>
          </w:tcPr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  <w:r w:rsidRPr="00A33A9A">
              <w:rPr>
                <w:rFonts w:ascii="Arial" w:hAnsi="Arial" w:cs="Arial"/>
                <w:b/>
                <w:bCs/>
                <w:color w:val="808080"/>
                <w:szCs w:val="24"/>
              </w:rPr>
              <w:t>California Institute of Technology</w:t>
            </w:r>
          </w:p>
          <w:p w:rsidR="005F48B2" w:rsidRPr="00A33A9A" w:rsidRDefault="005F48B2" w:rsidP="008E7496">
            <w:pPr>
              <w:pStyle w:val="PlainText"/>
              <w:spacing w:before="0"/>
              <w:jc w:val="center"/>
              <w:rPr>
                <w:rFonts w:ascii="Arial" w:hAnsi="Arial" w:cs="Arial"/>
                <w:color w:val="808080"/>
                <w:szCs w:val="24"/>
                <w:lang w:val="it-IT"/>
              </w:rPr>
            </w:pPr>
            <w:r w:rsidRPr="00A33A9A">
              <w:rPr>
                <w:rFonts w:ascii="Arial" w:hAnsi="Arial" w:cs="Arial"/>
                <w:b/>
                <w:bCs/>
                <w:color w:val="808080"/>
                <w:szCs w:val="24"/>
              </w:rPr>
              <w:t>LIGO Project</w:t>
            </w:r>
          </w:p>
        </w:tc>
        <w:tc>
          <w:tcPr>
            <w:tcW w:w="4909" w:type="dxa"/>
          </w:tcPr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  <w:r w:rsidRPr="00A33A9A">
              <w:rPr>
                <w:rFonts w:ascii="Arial" w:hAnsi="Arial" w:cs="Arial"/>
                <w:b/>
                <w:bCs/>
                <w:color w:val="808080"/>
                <w:szCs w:val="24"/>
              </w:rPr>
              <w:t>Massachusetts Institute of Technology</w:t>
            </w:r>
          </w:p>
          <w:p w:rsidR="005F48B2" w:rsidRPr="00A33A9A" w:rsidRDefault="00E66298" w:rsidP="008E7496">
            <w:pPr>
              <w:pStyle w:val="PlainText"/>
              <w:spacing w:before="0"/>
              <w:jc w:val="center"/>
              <w:rPr>
                <w:rFonts w:ascii="Arial" w:hAnsi="Arial" w:cs="Arial"/>
                <w:color w:val="808080"/>
                <w:szCs w:val="24"/>
              </w:rPr>
            </w:pPr>
            <w:r w:rsidRPr="00A33A9A">
              <w:rPr>
                <w:rFonts w:ascii="Arial" w:hAnsi="Arial" w:cs="Arial"/>
                <w:b/>
                <w:bCs/>
                <w:color w:val="808080"/>
                <w:szCs w:val="24"/>
              </w:rPr>
              <w:t>LIGO Project</w:t>
            </w:r>
          </w:p>
        </w:tc>
      </w:tr>
      <w:tr w:rsidR="005F48B2" w:rsidRPr="00A33A9A">
        <w:tc>
          <w:tcPr>
            <w:tcW w:w="4909" w:type="dxa"/>
          </w:tcPr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8E7496" w:rsidRPr="00A33A9A" w:rsidRDefault="008E7496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8E7496" w:rsidRPr="00A33A9A" w:rsidRDefault="008E7496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8E7496" w:rsidRPr="00A33A9A" w:rsidRDefault="008E7496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  <w:r w:rsidRPr="00A33A9A">
              <w:rPr>
                <w:rFonts w:ascii="Arial" w:hAnsi="Arial" w:cs="Arial"/>
                <w:b/>
                <w:bCs/>
                <w:color w:val="808080"/>
                <w:szCs w:val="24"/>
              </w:rPr>
              <w:t>LIGO Hanford Observatory</w:t>
            </w:r>
          </w:p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</w:tc>
        <w:tc>
          <w:tcPr>
            <w:tcW w:w="4909" w:type="dxa"/>
          </w:tcPr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8E7496" w:rsidRPr="00A33A9A" w:rsidRDefault="008E7496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8E7496" w:rsidRPr="00A33A9A" w:rsidRDefault="008E7496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8E7496" w:rsidRPr="00A33A9A" w:rsidRDefault="008E7496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  <w:r w:rsidRPr="00A33A9A">
              <w:rPr>
                <w:rFonts w:ascii="Arial" w:hAnsi="Arial" w:cs="Arial"/>
                <w:b/>
                <w:bCs/>
                <w:color w:val="808080"/>
                <w:szCs w:val="24"/>
              </w:rPr>
              <w:t>LIGO Livingston Observatory</w:t>
            </w:r>
          </w:p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</w:tc>
      </w:tr>
    </w:tbl>
    <w:p w:rsidR="00CE34E1" w:rsidRDefault="00CE34E1">
      <w:pPr>
        <w:pStyle w:val="PlainText"/>
        <w:jc w:val="center"/>
        <w:rPr>
          <w:rFonts w:ascii="Arial" w:hAnsi="Arial" w:cs="Arial"/>
          <w:szCs w:val="24"/>
        </w:rPr>
      </w:pPr>
      <w:hyperlink r:id="rId7" w:history="1">
        <w:r w:rsidRPr="006109EA">
          <w:rPr>
            <w:rStyle w:val="Hyperlink"/>
            <w:rFonts w:ascii="Arial" w:hAnsi="Arial" w:cs="Arial"/>
            <w:szCs w:val="24"/>
          </w:rPr>
          <w:t>http://www.ligo.caltech.edu/</w:t>
        </w:r>
      </w:hyperlink>
      <w:r>
        <w:rPr>
          <w:rFonts w:ascii="Arial" w:hAnsi="Arial" w:cs="Arial"/>
          <w:szCs w:val="24"/>
        </w:rPr>
        <w:t xml:space="preserve"> </w:t>
      </w:r>
    </w:p>
    <w:p w:rsidR="00CE34E1" w:rsidRDefault="00CE34E1">
      <w:pPr>
        <w:pStyle w:val="PlainText"/>
        <w:jc w:val="center"/>
        <w:rPr>
          <w:rFonts w:ascii="Arial" w:hAnsi="Arial" w:cs="Arial"/>
          <w:szCs w:val="24"/>
        </w:rPr>
      </w:pPr>
    </w:p>
    <w:p w:rsidR="00CE34E1" w:rsidRDefault="00CE34E1">
      <w:pPr>
        <w:pStyle w:val="PlainText"/>
        <w:jc w:val="center"/>
        <w:rPr>
          <w:rFonts w:ascii="Arial" w:hAnsi="Arial" w:cs="Arial"/>
          <w:szCs w:val="24"/>
        </w:rPr>
      </w:pPr>
    </w:p>
    <w:p w:rsidR="00CE34E1" w:rsidRPr="00CE34E1" w:rsidRDefault="00CE34E1">
      <w:pPr>
        <w:pStyle w:val="PlainText"/>
        <w:jc w:val="center"/>
        <w:rPr>
          <w:rFonts w:ascii="Arial" w:hAnsi="Arial" w:cs="Arial"/>
          <w:color w:val="000000" w:themeColor="text1"/>
          <w:szCs w:val="24"/>
        </w:rPr>
      </w:pPr>
    </w:p>
    <w:p w:rsidR="005F48B2" w:rsidRPr="00CE34E1" w:rsidRDefault="00CE34E1">
      <w:pPr>
        <w:pStyle w:val="PlainText"/>
        <w:jc w:val="center"/>
        <w:rPr>
          <w:rFonts w:ascii="Arial" w:hAnsi="Arial" w:cs="Arial"/>
          <w:b/>
          <w:color w:val="FF0000"/>
          <w:szCs w:val="24"/>
        </w:rPr>
      </w:pPr>
      <w:r w:rsidRPr="00CE34E1">
        <w:rPr>
          <w:rFonts w:ascii="Arial" w:hAnsi="Arial" w:cs="Arial"/>
          <w:b/>
          <w:color w:val="FF0000"/>
          <w:szCs w:val="24"/>
        </w:rPr>
        <w:t>Permanent coating damage may occur if procedures are not followed!!!</w:t>
      </w:r>
    </w:p>
    <w:p w:rsidR="00360C3D" w:rsidRPr="000F0224" w:rsidRDefault="005F48B2" w:rsidP="00A33A9A">
      <w:pPr>
        <w:pStyle w:val="Heading1"/>
        <w:rPr>
          <w:rFonts w:cs="Arial"/>
          <w:sz w:val="24"/>
          <w:szCs w:val="24"/>
        </w:rPr>
      </w:pPr>
      <w:r w:rsidRPr="00A33A9A">
        <w:rPr>
          <w:rFonts w:cs="Arial"/>
          <w:sz w:val="24"/>
          <w:szCs w:val="24"/>
        </w:rPr>
        <w:br w:type="page"/>
      </w:r>
      <w:r w:rsidR="00360C3D" w:rsidRPr="000F0224">
        <w:rPr>
          <w:rFonts w:cs="Arial"/>
          <w:sz w:val="24"/>
          <w:szCs w:val="24"/>
        </w:rPr>
        <w:lastRenderedPageBreak/>
        <w:t>Scope</w:t>
      </w:r>
    </w:p>
    <w:p w:rsidR="00360C3D" w:rsidRPr="000F0224" w:rsidRDefault="00360C3D" w:rsidP="00360C3D">
      <w:pPr>
        <w:rPr>
          <w:rFonts w:ascii="Arial" w:hAnsi="Arial" w:cs="Arial"/>
          <w:szCs w:val="24"/>
        </w:rPr>
      </w:pPr>
      <w:r w:rsidRPr="000F0224">
        <w:rPr>
          <w:rFonts w:ascii="Arial" w:hAnsi="Arial" w:cs="Arial"/>
          <w:szCs w:val="24"/>
        </w:rPr>
        <w:t>The following procedure is only for handling, cleaning and baking of DLC coated stray light baffles.</w:t>
      </w:r>
      <w:r w:rsidR="00BD2D57">
        <w:rPr>
          <w:rFonts w:ascii="Arial" w:hAnsi="Arial" w:cs="Arial"/>
          <w:szCs w:val="24"/>
        </w:rPr>
        <w:t xml:space="preserve"> For handling of the large parts (ex D1700164 and bigger) at least two persons is required</w:t>
      </w:r>
    </w:p>
    <w:p w:rsidR="005F48B2" w:rsidRPr="000F0224" w:rsidRDefault="00360C3D" w:rsidP="00A33A9A">
      <w:pPr>
        <w:pStyle w:val="Heading1"/>
        <w:rPr>
          <w:rFonts w:cs="Arial"/>
          <w:sz w:val="24"/>
          <w:szCs w:val="24"/>
        </w:rPr>
      </w:pPr>
      <w:r w:rsidRPr="000F0224">
        <w:rPr>
          <w:rFonts w:cs="Arial"/>
          <w:sz w:val="24"/>
          <w:szCs w:val="24"/>
        </w:rPr>
        <w:t>Handlin</w:t>
      </w:r>
      <w:r w:rsidR="00A33A9A" w:rsidRPr="000F0224">
        <w:rPr>
          <w:rFonts w:cs="Arial"/>
          <w:sz w:val="24"/>
          <w:szCs w:val="24"/>
        </w:rPr>
        <w:t>g</w:t>
      </w:r>
    </w:p>
    <w:p w:rsidR="009A483E" w:rsidRPr="000F0224" w:rsidRDefault="00A33A9A" w:rsidP="00A33A9A">
      <w:pPr>
        <w:rPr>
          <w:rFonts w:ascii="Arial" w:hAnsi="Arial" w:cs="Arial"/>
          <w:szCs w:val="24"/>
        </w:rPr>
      </w:pPr>
      <w:r w:rsidRPr="000F0224">
        <w:rPr>
          <w:rFonts w:ascii="Arial" w:hAnsi="Arial" w:cs="Arial"/>
          <w:szCs w:val="24"/>
        </w:rPr>
        <w:t xml:space="preserve">Coated super polished surface of the stray light baffles can be scratched! </w:t>
      </w:r>
      <w:r w:rsidR="009A483E" w:rsidRPr="000F0224">
        <w:rPr>
          <w:rFonts w:ascii="Arial" w:hAnsi="Arial" w:cs="Arial"/>
          <w:szCs w:val="24"/>
        </w:rPr>
        <w:t>Be very careful when unpacking the baffles. Always wear gloves when handling the baffles even prior to cleaning.</w:t>
      </w:r>
    </w:p>
    <w:p w:rsidR="005F48B2" w:rsidRPr="000F0224" w:rsidRDefault="00A33A9A" w:rsidP="00A33A9A">
      <w:pPr>
        <w:rPr>
          <w:rFonts w:ascii="Arial" w:hAnsi="Arial" w:cs="Arial"/>
          <w:szCs w:val="24"/>
        </w:rPr>
      </w:pPr>
      <w:r w:rsidRPr="000F0224">
        <w:rPr>
          <w:rFonts w:ascii="Arial" w:hAnsi="Arial" w:cs="Arial"/>
          <w:szCs w:val="24"/>
        </w:rPr>
        <w:t>Each baffle has a front side (super polished #8) and back side which is less polished. Each baffle is engraved with a serial number on the back side. Both side</w:t>
      </w:r>
      <w:r w:rsidR="00360C3D" w:rsidRPr="000F0224">
        <w:rPr>
          <w:rFonts w:ascii="Arial" w:hAnsi="Arial" w:cs="Arial"/>
          <w:szCs w:val="24"/>
        </w:rPr>
        <w:t>s</w:t>
      </w:r>
      <w:r w:rsidRPr="000F0224">
        <w:rPr>
          <w:rFonts w:ascii="Arial" w:hAnsi="Arial" w:cs="Arial"/>
          <w:szCs w:val="24"/>
        </w:rPr>
        <w:t xml:space="preserve"> of stray light baffles should be handled with care, particularly the front side. Never stack the baffles together. Always use appropriate </w:t>
      </w:r>
      <w:r w:rsidR="006A058E" w:rsidRPr="000F0224">
        <w:rPr>
          <w:rFonts w:ascii="Arial" w:hAnsi="Arial" w:cs="Arial"/>
          <w:szCs w:val="24"/>
        </w:rPr>
        <w:t xml:space="preserve">clean </w:t>
      </w:r>
      <w:r w:rsidRPr="000F0224">
        <w:rPr>
          <w:rFonts w:ascii="Arial" w:hAnsi="Arial" w:cs="Arial"/>
          <w:szCs w:val="24"/>
        </w:rPr>
        <w:t xml:space="preserve">spacers: only </w:t>
      </w:r>
      <w:proofErr w:type="spellStart"/>
      <w:proofErr w:type="gramStart"/>
      <w:r w:rsidRPr="000F0224">
        <w:rPr>
          <w:rFonts w:ascii="Arial" w:hAnsi="Arial" w:cs="Arial"/>
          <w:szCs w:val="24"/>
        </w:rPr>
        <w:t>teflon</w:t>
      </w:r>
      <w:proofErr w:type="spellEnd"/>
      <w:proofErr w:type="gramEnd"/>
      <w:r w:rsidRPr="000F0224">
        <w:rPr>
          <w:rFonts w:ascii="Arial" w:hAnsi="Arial" w:cs="Arial"/>
          <w:szCs w:val="24"/>
        </w:rPr>
        <w:t xml:space="preserve"> spacers for cleaning and drying and </w:t>
      </w:r>
      <w:r w:rsidR="00E5521A" w:rsidRPr="000F0224">
        <w:rPr>
          <w:rFonts w:ascii="Arial" w:hAnsi="Arial" w:cs="Arial"/>
          <w:szCs w:val="24"/>
        </w:rPr>
        <w:t xml:space="preserve">only </w:t>
      </w:r>
      <w:r w:rsidRPr="000F0224">
        <w:rPr>
          <w:rFonts w:ascii="Arial" w:hAnsi="Arial" w:cs="Arial"/>
          <w:szCs w:val="24"/>
        </w:rPr>
        <w:t>stainless steel for baking (never other way around)</w:t>
      </w:r>
      <w:r w:rsidR="00360C3D" w:rsidRPr="000F0224">
        <w:rPr>
          <w:rFonts w:ascii="Arial" w:hAnsi="Arial" w:cs="Arial"/>
          <w:szCs w:val="24"/>
        </w:rPr>
        <w:t>.</w:t>
      </w:r>
    </w:p>
    <w:p w:rsidR="005F48B2" w:rsidRPr="000F0224" w:rsidRDefault="00A33A9A" w:rsidP="00A33A9A">
      <w:pPr>
        <w:pStyle w:val="Heading1"/>
        <w:rPr>
          <w:rFonts w:cs="Arial"/>
          <w:sz w:val="24"/>
          <w:szCs w:val="24"/>
        </w:rPr>
      </w:pPr>
      <w:r w:rsidRPr="000F0224">
        <w:rPr>
          <w:rFonts w:cs="Arial"/>
          <w:sz w:val="24"/>
          <w:szCs w:val="24"/>
        </w:rPr>
        <w:t>Cleaning</w:t>
      </w:r>
    </w:p>
    <w:p w:rsidR="00A33A9A" w:rsidRPr="000F0224" w:rsidRDefault="00A33A9A" w:rsidP="00A33A9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F0224">
        <w:rPr>
          <w:rFonts w:ascii="Arial" w:hAnsi="Arial" w:cs="Arial"/>
          <w:sz w:val="24"/>
          <w:szCs w:val="24"/>
        </w:rPr>
        <w:t xml:space="preserve">Use 10 ml of </w:t>
      </w:r>
      <w:proofErr w:type="spellStart"/>
      <w:r w:rsidRPr="000F0224">
        <w:rPr>
          <w:rFonts w:ascii="Arial" w:hAnsi="Arial" w:cs="Arial"/>
          <w:sz w:val="24"/>
          <w:szCs w:val="24"/>
        </w:rPr>
        <w:t>liquinox</w:t>
      </w:r>
      <w:proofErr w:type="spellEnd"/>
      <w:r w:rsidRPr="000F0224">
        <w:rPr>
          <w:rFonts w:ascii="Arial" w:hAnsi="Arial" w:cs="Arial"/>
          <w:sz w:val="24"/>
          <w:szCs w:val="24"/>
        </w:rPr>
        <w:t xml:space="preserve"> per each liter of water to make the sonic bath</w:t>
      </w:r>
    </w:p>
    <w:p w:rsidR="00A33A9A" w:rsidRPr="000F0224" w:rsidRDefault="00A33A9A" w:rsidP="00A33A9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F0224">
        <w:rPr>
          <w:rFonts w:ascii="Arial" w:hAnsi="Arial" w:cs="Arial"/>
          <w:sz w:val="24"/>
          <w:szCs w:val="24"/>
        </w:rPr>
        <w:t xml:space="preserve">Use </w:t>
      </w:r>
      <w:proofErr w:type="spellStart"/>
      <w:proofErr w:type="gramStart"/>
      <w:r w:rsidRPr="000F0224">
        <w:rPr>
          <w:rFonts w:ascii="Arial" w:hAnsi="Arial" w:cs="Arial"/>
          <w:sz w:val="24"/>
          <w:szCs w:val="24"/>
        </w:rPr>
        <w:t>teflon</w:t>
      </w:r>
      <w:proofErr w:type="spellEnd"/>
      <w:proofErr w:type="gramEnd"/>
      <w:r w:rsidRPr="000F0224">
        <w:rPr>
          <w:rFonts w:ascii="Arial" w:hAnsi="Arial" w:cs="Arial"/>
          <w:sz w:val="24"/>
          <w:szCs w:val="24"/>
        </w:rPr>
        <w:t xml:space="preserve"> spacers to stack the baffles in a sonicating tank. Make sure the baffles are stable and will not move when water is agitated. Never use metal spacers for cleaning</w:t>
      </w:r>
    </w:p>
    <w:p w:rsidR="00A33A9A" w:rsidRPr="000F0224" w:rsidRDefault="00A33A9A" w:rsidP="00A33A9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F0224">
        <w:rPr>
          <w:rFonts w:ascii="Arial" w:hAnsi="Arial" w:cs="Arial"/>
          <w:sz w:val="24"/>
          <w:szCs w:val="24"/>
        </w:rPr>
        <w:t>Sonicate for 10 min at 50</w:t>
      </w:r>
      <w:r w:rsidR="00C554DE">
        <w:rPr>
          <w:rFonts w:ascii="Arial" w:hAnsi="Arial" w:cs="Arial"/>
          <w:sz w:val="24"/>
          <w:szCs w:val="24"/>
        </w:rPr>
        <w:t>⁰</w:t>
      </w:r>
      <w:r w:rsidRPr="000F0224">
        <w:rPr>
          <w:rFonts w:ascii="Arial" w:hAnsi="Arial" w:cs="Arial"/>
          <w:sz w:val="24"/>
          <w:szCs w:val="24"/>
        </w:rPr>
        <w:t xml:space="preserve"> C</w:t>
      </w:r>
    </w:p>
    <w:p w:rsidR="00A33A9A" w:rsidRPr="000F0224" w:rsidRDefault="00E5521A" w:rsidP="00A33A9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F0224">
        <w:rPr>
          <w:rFonts w:ascii="Arial" w:hAnsi="Arial" w:cs="Arial"/>
          <w:sz w:val="24"/>
          <w:szCs w:val="24"/>
        </w:rPr>
        <w:t>Thoroughly r</w:t>
      </w:r>
      <w:r w:rsidR="00A33A9A" w:rsidRPr="000F0224">
        <w:rPr>
          <w:rFonts w:ascii="Arial" w:hAnsi="Arial" w:cs="Arial"/>
          <w:sz w:val="24"/>
          <w:szCs w:val="24"/>
        </w:rPr>
        <w:t xml:space="preserve">inse the baffles with DI water within 1 min after removing it from the </w:t>
      </w:r>
      <w:proofErr w:type="spellStart"/>
      <w:r w:rsidR="00A33A9A" w:rsidRPr="000F0224">
        <w:rPr>
          <w:rFonts w:ascii="Arial" w:hAnsi="Arial" w:cs="Arial"/>
          <w:sz w:val="24"/>
          <w:szCs w:val="24"/>
        </w:rPr>
        <w:t>sonicator</w:t>
      </w:r>
      <w:proofErr w:type="spellEnd"/>
    </w:p>
    <w:p w:rsidR="00A33A9A" w:rsidRPr="000F0224" w:rsidRDefault="00A33A9A" w:rsidP="000F0224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F0224">
        <w:rPr>
          <w:rFonts w:ascii="Arial" w:hAnsi="Arial" w:cs="Arial"/>
          <w:sz w:val="24"/>
          <w:szCs w:val="24"/>
        </w:rPr>
        <w:t xml:space="preserve">Use clean </w:t>
      </w:r>
      <w:proofErr w:type="spellStart"/>
      <w:proofErr w:type="gramStart"/>
      <w:r w:rsidRPr="000F0224">
        <w:rPr>
          <w:rFonts w:ascii="Arial" w:hAnsi="Arial" w:cs="Arial"/>
          <w:sz w:val="24"/>
          <w:szCs w:val="24"/>
        </w:rPr>
        <w:t>teflon</w:t>
      </w:r>
      <w:proofErr w:type="spellEnd"/>
      <w:proofErr w:type="gramEnd"/>
      <w:r w:rsidRPr="000F0224">
        <w:rPr>
          <w:rFonts w:ascii="Arial" w:hAnsi="Arial" w:cs="Arial"/>
          <w:sz w:val="24"/>
          <w:szCs w:val="24"/>
        </w:rPr>
        <w:t xml:space="preserve"> spacers to place </w:t>
      </w:r>
      <w:r w:rsidR="00476205" w:rsidRPr="000F0224">
        <w:rPr>
          <w:rFonts w:ascii="Arial" w:hAnsi="Arial" w:cs="Arial"/>
          <w:sz w:val="24"/>
          <w:szCs w:val="24"/>
        </w:rPr>
        <w:t>baffles in a clean drying area</w:t>
      </w:r>
      <w:r w:rsidR="000F0224">
        <w:rPr>
          <w:rFonts w:ascii="Arial" w:hAnsi="Arial" w:cs="Arial"/>
          <w:sz w:val="24"/>
          <w:szCs w:val="24"/>
        </w:rPr>
        <w:t>.</w:t>
      </w:r>
      <w:r w:rsidRPr="000F0224">
        <w:rPr>
          <w:rFonts w:ascii="Arial" w:hAnsi="Arial" w:cs="Arial"/>
          <w:sz w:val="24"/>
          <w:szCs w:val="24"/>
        </w:rPr>
        <w:t xml:space="preserve"> </w:t>
      </w:r>
      <w:r w:rsidR="000F0224">
        <w:rPr>
          <w:rFonts w:ascii="Arial" w:hAnsi="Arial" w:cs="Arial"/>
          <w:sz w:val="24"/>
          <w:szCs w:val="24"/>
        </w:rPr>
        <w:t>T</w:t>
      </w:r>
      <w:r w:rsidR="000F0224" w:rsidRPr="000F0224">
        <w:rPr>
          <w:rFonts w:ascii="Arial" w:hAnsi="Arial" w:cs="Arial"/>
          <w:sz w:val="24"/>
          <w:szCs w:val="24"/>
        </w:rPr>
        <w:t>horoughly</w:t>
      </w:r>
      <w:r w:rsidR="000F0224">
        <w:rPr>
          <w:rFonts w:ascii="Arial" w:hAnsi="Arial" w:cs="Arial"/>
          <w:sz w:val="24"/>
          <w:szCs w:val="24"/>
        </w:rPr>
        <w:t xml:space="preserve"> </w:t>
      </w:r>
      <w:r w:rsidR="00360C3D" w:rsidRPr="000F0224">
        <w:rPr>
          <w:rFonts w:ascii="Arial" w:hAnsi="Arial" w:cs="Arial"/>
          <w:sz w:val="24"/>
          <w:szCs w:val="24"/>
        </w:rPr>
        <w:t>w</w:t>
      </w:r>
      <w:r w:rsidR="00476205" w:rsidRPr="000F0224">
        <w:rPr>
          <w:rFonts w:ascii="Arial" w:hAnsi="Arial" w:cs="Arial"/>
          <w:sz w:val="24"/>
          <w:szCs w:val="24"/>
        </w:rPr>
        <w:t>ipe down edges, slots</w:t>
      </w:r>
      <w:r w:rsidRPr="000F0224">
        <w:rPr>
          <w:rFonts w:ascii="Arial" w:hAnsi="Arial" w:cs="Arial"/>
          <w:sz w:val="24"/>
          <w:szCs w:val="24"/>
        </w:rPr>
        <w:t xml:space="preserve"> </w:t>
      </w:r>
      <w:r w:rsidR="00476205" w:rsidRPr="000F0224">
        <w:rPr>
          <w:rFonts w:ascii="Arial" w:hAnsi="Arial" w:cs="Arial"/>
          <w:sz w:val="24"/>
          <w:szCs w:val="24"/>
        </w:rPr>
        <w:t xml:space="preserve">and apertures </w:t>
      </w:r>
      <w:r w:rsidRPr="000F0224">
        <w:rPr>
          <w:rFonts w:ascii="Arial" w:hAnsi="Arial" w:cs="Arial"/>
          <w:sz w:val="24"/>
          <w:szCs w:val="24"/>
        </w:rPr>
        <w:t xml:space="preserve">of </w:t>
      </w:r>
      <w:r w:rsidR="00476205" w:rsidRPr="000F0224">
        <w:rPr>
          <w:rFonts w:ascii="Arial" w:hAnsi="Arial" w:cs="Arial"/>
          <w:sz w:val="24"/>
          <w:szCs w:val="24"/>
        </w:rPr>
        <w:t xml:space="preserve">each baffle </w:t>
      </w:r>
      <w:r w:rsidRPr="000F0224">
        <w:rPr>
          <w:rFonts w:ascii="Arial" w:hAnsi="Arial" w:cs="Arial"/>
          <w:sz w:val="24"/>
          <w:szCs w:val="24"/>
        </w:rPr>
        <w:t xml:space="preserve">with </w:t>
      </w:r>
      <w:r w:rsidR="001C6E58" w:rsidRPr="000F0224">
        <w:rPr>
          <w:rFonts w:ascii="Arial" w:hAnsi="Arial" w:cs="Arial"/>
          <w:sz w:val="24"/>
          <w:szCs w:val="24"/>
        </w:rPr>
        <w:t xml:space="preserve">Pre-wetted Vectra Alpha 10, TX8410, </w:t>
      </w:r>
      <w:hyperlink r:id="rId8" w:history="1">
        <w:r w:rsidR="000F0224" w:rsidRPr="0070786F">
          <w:rPr>
            <w:rStyle w:val="Hyperlink"/>
            <w:rFonts w:ascii="Arial" w:hAnsi="Arial" w:cs="Arial"/>
            <w:sz w:val="24"/>
            <w:szCs w:val="24"/>
          </w:rPr>
          <w:t>https://es.vwr.c</w:t>
        </w:r>
        <w:r w:rsidR="000F0224" w:rsidRPr="0070786F">
          <w:rPr>
            <w:rStyle w:val="Hyperlink"/>
            <w:rFonts w:ascii="Arial" w:hAnsi="Arial" w:cs="Arial"/>
            <w:sz w:val="24"/>
            <w:szCs w:val="24"/>
          </w:rPr>
          <w:t>o</w:t>
        </w:r>
        <w:r w:rsidR="000F0224" w:rsidRPr="0070786F">
          <w:rPr>
            <w:rStyle w:val="Hyperlink"/>
            <w:rFonts w:ascii="Arial" w:hAnsi="Arial" w:cs="Arial"/>
            <w:sz w:val="24"/>
            <w:szCs w:val="24"/>
          </w:rPr>
          <w:t>m/store/product/8615562/cleanroom-wipes-pre-saturated-alphasat-with-ve</w:t>
        </w:r>
        <w:r w:rsidR="000F0224" w:rsidRPr="0070786F">
          <w:rPr>
            <w:rStyle w:val="Hyperlink"/>
            <w:rFonts w:ascii="Arial" w:hAnsi="Arial" w:cs="Arial"/>
            <w:sz w:val="24"/>
            <w:szCs w:val="24"/>
          </w:rPr>
          <w:t>c</w:t>
        </w:r>
        <w:r w:rsidR="000F0224" w:rsidRPr="0070786F">
          <w:rPr>
            <w:rStyle w:val="Hyperlink"/>
            <w:rFonts w:ascii="Arial" w:hAnsi="Arial" w:cs="Arial"/>
            <w:sz w:val="24"/>
            <w:szCs w:val="24"/>
          </w:rPr>
          <w:t>tra-alpha-10</w:t>
        </w:r>
      </w:hyperlink>
      <w:r w:rsidR="000F0224">
        <w:rPr>
          <w:rFonts w:ascii="Arial" w:hAnsi="Arial" w:cs="Arial"/>
          <w:sz w:val="24"/>
          <w:szCs w:val="24"/>
        </w:rPr>
        <w:t xml:space="preserve"> (e</w:t>
      </w:r>
      <w:r w:rsidR="000F0224" w:rsidRPr="000F0224">
        <w:rPr>
          <w:rFonts w:ascii="Arial" w:hAnsi="Arial" w:cs="Arial"/>
          <w:sz w:val="24"/>
          <w:szCs w:val="24"/>
        </w:rPr>
        <w:t>ither while drying or after)</w:t>
      </w:r>
      <w:r w:rsidRPr="000F0224">
        <w:rPr>
          <w:rFonts w:ascii="Arial" w:hAnsi="Arial" w:cs="Arial"/>
          <w:sz w:val="24"/>
          <w:szCs w:val="24"/>
        </w:rPr>
        <w:t xml:space="preserve">. </w:t>
      </w:r>
      <w:r w:rsidR="00CE34E1">
        <w:rPr>
          <w:rFonts w:ascii="Arial" w:hAnsi="Arial" w:cs="Arial"/>
          <w:sz w:val="24"/>
          <w:szCs w:val="24"/>
        </w:rPr>
        <w:t>If you see any</w:t>
      </w:r>
      <w:r w:rsidRPr="000F0224">
        <w:rPr>
          <w:rFonts w:ascii="Arial" w:hAnsi="Arial" w:cs="Arial"/>
          <w:sz w:val="24"/>
          <w:szCs w:val="24"/>
        </w:rPr>
        <w:t xml:space="preserve"> dust or color residual on the wipe, continue until it is removed completely</w:t>
      </w:r>
    </w:p>
    <w:p w:rsidR="005F48B2" w:rsidRPr="000F0224" w:rsidRDefault="00A33A9A" w:rsidP="00A33A9A">
      <w:pPr>
        <w:pStyle w:val="Heading1"/>
        <w:rPr>
          <w:rFonts w:cs="Arial"/>
          <w:sz w:val="24"/>
          <w:szCs w:val="24"/>
        </w:rPr>
      </w:pPr>
      <w:r w:rsidRPr="000F0224">
        <w:rPr>
          <w:rFonts w:cs="Arial"/>
          <w:sz w:val="24"/>
          <w:szCs w:val="24"/>
        </w:rPr>
        <w:t>Baking</w:t>
      </w:r>
    </w:p>
    <w:p w:rsidR="00A33A9A" w:rsidRPr="000F0224" w:rsidRDefault="00A33A9A" w:rsidP="00A33A9A">
      <w:pPr>
        <w:pStyle w:val="ListParagraph"/>
        <w:numPr>
          <w:ilvl w:val="0"/>
          <w:numId w:val="26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0F0224">
        <w:rPr>
          <w:rFonts w:ascii="Arial" w:hAnsi="Arial" w:cs="Arial"/>
          <w:sz w:val="24"/>
          <w:szCs w:val="24"/>
        </w:rPr>
        <w:t xml:space="preserve">Use approved </w:t>
      </w:r>
      <w:r w:rsidR="00360C3D" w:rsidRPr="000F0224">
        <w:rPr>
          <w:rFonts w:ascii="Arial" w:hAnsi="Arial" w:cs="Arial"/>
          <w:sz w:val="24"/>
          <w:szCs w:val="24"/>
        </w:rPr>
        <w:t>(</w:t>
      </w:r>
      <w:r w:rsidRPr="000F0224">
        <w:rPr>
          <w:rFonts w:ascii="Arial" w:hAnsi="Arial" w:cs="Arial"/>
          <w:sz w:val="24"/>
          <w:szCs w:val="24"/>
        </w:rPr>
        <w:t>clean</w:t>
      </w:r>
      <w:r w:rsidR="00360C3D" w:rsidRPr="000F0224">
        <w:rPr>
          <w:rFonts w:ascii="Arial" w:hAnsi="Arial" w:cs="Arial"/>
          <w:sz w:val="24"/>
          <w:szCs w:val="24"/>
        </w:rPr>
        <w:t>ed and baked)</w:t>
      </w:r>
      <w:r w:rsidRPr="000F0224">
        <w:rPr>
          <w:rFonts w:ascii="Arial" w:hAnsi="Arial" w:cs="Arial"/>
          <w:sz w:val="24"/>
          <w:szCs w:val="24"/>
        </w:rPr>
        <w:t xml:space="preserve"> stainless steel spacers to stack the baffles in the oven. Never use any polymer spacers when baking. The spacers should be placed at the location of </w:t>
      </w:r>
      <w:r w:rsidR="00C40592" w:rsidRPr="000F0224">
        <w:rPr>
          <w:rFonts w:ascii="Arial" w:hAnsi="Arial" w:cs="Arial"/>
          <w:sz w:val="24"/>
          <w:szCs w:val="24"/>
        </w:rPr>
        <w:t>the slots</w:t>
      </w:r>
      <w:r w:rsidRPr="000F0224">
        <w:rPr>
          <w:rFonts w:ascii="Arial" w:hAnsi="Arial" w:cs="Arial"/>
          <w:sz w:val="24"/>
          <w:szCs w:val="24"/>
        </w:rPr>
        <w:t xml:space="preserve">. Never locate the spacer close to an aperture of the baffle. </w:t>
      </w:r>
      <w:r w:rsidR="00C40592" w:rsidRPr="000F0224">
        <w:rPr>
          <w:rFonts w:ascii="Arial" w:hAnsi="Arial" w:cs="Arial"/>
          <w:sz w:val="24"/>
          <w:szCs w:val="24"/>
        </w:rPr>
        <w:t xml:space="preserve">Gently place the baffles on spacers. </w:t>
      </w:r>
      <w:r w:rsidRPr="000F0224">
        <w:rPr>
          <w:rFonts w:ascii="Arial" w:hAnsi="Arial" w:cs="Arial"/>
          <w:sz w:val="24"/>
          <w:szCs w:val="24"/>
        </w:rPr>
        <w:t xml:space="preserve">Be very careful </w:t>
      </w:r>
      <w:r w:rsidR="00C40592" w:rsidRPr="000F0224">
        <w:rPr>
          <w:rFonts w:ascii="Arial" w:hAnsi="Arial" w:cs="Arial"/>
          <w:sz w:val="24"/>
          <w:szCs w:val="24"/>
        </w:rPr>
        <w:t>not to</w:t>
      </w:r>
      <w:r w:rsidRPr="000F0224">
        <w:rPr>
          <w:rFonts w:ascii="Arial" w:hAnsi="Arial" w:cs="Arial"/>
          <w:sz w:val="24"/>
          <w:szCs w:val="24"/>
        </w:rPr>
        <w:t xml:space="preserve"> drag the baffle plate on the spacers.</w:t>
      </w:r>
      <w:r w:rsidR="00C40592" w:rsidRPr="000F0224">
        <w:rPr>
          <w:rFonts w:ascii="Arial" w:hAnsi="Arial" w:cs="Arial"/>
          <w:sz w:val="24"/>
          <w:szCs w:val="24"/>
        </w:rPr>
        <w:t xml:space="preserve"> </w:t>
      </w:r>
      <w:r w:rsidRPr="000F0224">
        <w:rPr>
          <w:rFonts w:ascii="Arial" w:hAnsi="Arial" w:cs="Arial"/>
          <w:sz w:val="24"/>
          <w:szCs w:val="24"/>
        </w:rPr>
        <w:t>At least two people should be handling large baffle</w:t>
      </w:r>
      <w:r w:rsidR="00360C3D" w:rsidRPr="000F0224">
        <w:rPr>
          <w:rFonts w:ascii="Arial" w:hAnsi="Arial" w:cs="Arial"/>
          <w:sz w:val="24"/>
          <w:szCs w:val="24"/>
        </w:rPr>
        <w:t xml:space="preserve"> panel</w:t>
      </w:r>
      <w:r w:rsidRPr="000F0224">
        <w:rPr>
          <w:rFonts w:ascii="Arial" w:hAnsi="Arial" w:cs="Arial"/>
          <w:sz w:val="24"/>
          <w:szCs w:val="24"/>
        </w:rPr>
        <w:t>s</w:t>
      </w:r>
    </w:p>
    <w:p w:rsidR="00360C3D" w:rsidRDefault="000F0224" w:rsidP="00360C3D">
      <w:pPr>
        <w:pStyle w:val="ListParagraph"/>
        <w:numPr>
          <w:ilvl w:val="0"/>
          <w:numId w:val="26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0F0224">
        <w:rPr>
          <w:rFonts w:ascii="Arial" w:hAnsi="Arial" w:cs="Arial"/>
          <w:sz w:val="24"/>
          <w:szCs w:val="24"/>
        </w:rPr>
        <w:t>Bake out the baffles</w:t>
      </w:r>
      <w:r w:rsidR="002D20D0">
        <w:rPr>
          <w:rFonts w:ascii="Arial" w:hAnsi="Arial" w:cs="Arial"/>
          <w:sz w:val="24"/>
          <w:szCs w:val="24"/>
        </w:rPr>
        <w:t xml:space="preserve"> at 150⁰ C</w:t>
      </w:r>
      <w:r w:rsidRPr="000F0224">
        <w:rPr>
          <w:rFonts w:ascii="Arial" w:hAnsi="Arial" w:cs="Arial"/>
          <w:sz w:val="24"/>
          <w:szCs w:val="24"/>
        </w:rPr>
        <w:t xml:space="preserve">: rump up 6h, hold 48 hours, rump down 6h </w:t>
      </w:r>
    </w:p>
    <w:p w:rsidR="00C60782" w:rsidRPr="00C60782" w:rsidRDefault="00C60782" w:rsidP="00C60782">
      <w:pPr>
        <w:pStyle w:val="Heading1"/>
      </w:pPr>
      <w:r>
        <w:t>Wrapping</w:t>
      </w:r>
    </w:p>
    <w:p w:rsidR="00A33A9A" w:rsidRDefault="00A33A9A" w:rsidP="00C60782">
      <w:pPr>
        <w:pStyle w:val="ListParagraph"/>
        <w:numPr>
          <w:ilvl w:val="0"/>
          <w:numId w:val="27"/>
        </w:numPr>
        <w:ind w:left="792"/>
        <w:jc w:val="both"/>
        <w:rPr>
          <w:rFonts w:ascii="Arial" w:hAnsi="Arial" w:cs="Arial"/>
          <w:sz w:val="24"/>
          <w:szCs w:val="24"/>
        </w:rPr>
      </w:pPr>
      <w:r w:rsidRPr="000F0224">
        <w:rPr>
          <w:rFonts w:ascii="Arial" w:hAnsi="Arial" w:cs="Arial"/>
          <w:sz w:val="24"/>
          <w:szCs w:val="24"/>
        </w:rPr>
        <w:t xml:space="preserve">Cleaned, baked and cooled baffles should be individually </w:t>
      </w:r>
      <w:r w:rsidR="003C2762" w:rsidRPr="000F0224">
        <w:rPr>
          <w:rFonts w:ascii="Arial" w:hAnsi="Arial" w:cs="Arial"/>
          <w:sz w:val="24"/>
          <w:szCs w:val="24"/>
        </w:rPr>
        <w:t xml:space="preserve">wrapped in dry </w:t>
      </w:r>
      <w:r w:rsidR="00360C3D" w:rsidRPr="000F0224">
        <w:rPr>
          <w:rFonts w:ascii="Arial" w:hAnsi="Arial" w:cs="Arial"/>
          <w:sz w:val="24"/>
          <w:szCs w:val="24"/>
        </w:rPr>
        <w:t xml:space="preserve">clean-room </w:t>
      </w:r>
      <w:r w:rsidR="003C2762" w:rsidRPr="000F0224">
        <w:rPr>
          <w:rFonts w:ascii="Arial" w:hAnsi="Arial" w:cs="Arial"/>
          <w:sz w:val="24"/>
          <w:szCs w:val="24"/>
        </w:rPr>
        <w:t>wipes</w:t>
      </w:r>
      <w:r w:rsidR="00360C3D" w:rsidRPr="000F0224">
        <w:rPr>
          <w:rFonts w:ascii="Arial" w:hAnsi="Arial" w:cs="Arial"/>
          <w:sz w:val="24"/>
          <w:szCs w:val="24"/>
        </w:rPr>
        <w:t xml:space="preserve"> </w:t>
      </w:r>
      <w:r w:rsidR="001C6E58" w:rsidRPr="000F0224">
        <w:rPr>
          <w:rFonts w:ascii="Arial" w:hAnsi="Arial" w:cs="Arial"/>
          <w:sz w:val="24"/>
          <w:szCs w:val="24"/>
        </w:rPr>
        <w:t xml:space="preserve">(e.g. TX-1025) </w:t>
      </w:r>
      <w:r w:rsidR="00360C3D" w:rsidRPr="000F0224">
        <w:rPr>
          <w:rFonts w:ascii="Arial" w:hAnsi="Arial" w:cs="Arial"/>
          <w:sz w:val="24"/>
          <w:szCs w:val="24"/>
        </w:rPr>
        <w:t xml:space="preserve">with sealed edge. </w:t>
      </w:r>
      <w:proofErr w:type="spellStart"/>
      <w:r w:rsidRPr="000F0224">
        <w:rPr>
          <w:rFonts w:ascii="Arial" w:hAnsi="Arial" w:cs="Arial"/>
          <w:sz w:val="24"/>
          <w:szCs w:val="24"/>
        </w:rPr>
        <w:t>Kapton</w:t>
      </w:r>
      <w:proofErr w:type="spellEnd"/>
      <w:r w:rsidRPr="000F0224">
        <w:rPr>
          <w:rFonts w:ascii="Arial" w:hAnsi="Arial" w:cs="Arial"/>
          <w:sz w:val="24"/>
          <w:szCs w:val="24"/>
        </w:rPr>
        <w:t xml:space="preserve"> tape can be used to secure the wipe from unwrapping. Place each wrapped baffle into a double </w:t>
      </w:r>
      <w:proofErr w:type="spellStart"/>
      <w:r w:rsidRPr="000F0224">
        <w:rPr>
          <w:rFonts w:ascii="Arial" w:hAnsi="Arial" w:cs="Arial"/>
          <w:sz w:val="24"/>
          <w:szCs w:val="24"/>
        </w:rPr>
        <w:t>ameristat</w:t>
      </w:r>
      <w:proofErr w:type="spellEnd"/>
      <w:r w:rsidRPr="000F0224">
        <w:rPr>
          <w:rFonts w:ascii="Arial" w:hAnsi="Arial" w:cs="Arial"/>
          <w:sz w:val="24"/>
          <w:szCs w:val="24"/>
        </w:rPr>
        <w:t xml:space="preserve"> bag. If you don`t have an </w:t>
      </w:r>
      <w:proofErr w:type="spellStart"/>
      <w:r w:rsidRPr="000F0224">
        <w:rPr>
          <w:rFonts w:ascii="Arial" w:hAnsi="Arial" w:cs="Arial"/>
          <w:sz w:val="24"/>
          <w:szCs w:val="24"/>
        </w:rPr>
        <w:t>ameriatat</w:t>
      </w:r>
      <w:proofErr w:type="spellEnd"/>
      <w:r w:rsidRPr="000F0224">
        <w:rPr>
          <w:rFonts w:ascii="Arial" w:hAnsi="Arial" w:cs="Arial"/>
          <w:sz w:val="24"/>
          <w:szCs w:val="24"/>
        </w:rPr>
        <w:t xml:space="preserve"> bag of an appropriate size, use the roll of the same material </w:t>
      </w:r>
      <w:r w:rsidR="00360C3D" w:rsidRPr="000F0224">
        <w:rPr>
          <w:rFonts w:ascii="Arial" w:hAnsi="Arial" w:cs="Arial"/>
          <w:sz w:val="24"/>
          <w:szCs w:val="24"/>
        </w:rPr>
        <w:t xml:space="preserve">and seal with </w:t>
      </w:r>
      <w:proofErr w:type="spellStart"/>
      <w:r w:rsidR="00360C3D" w:rsidRPr="000F0224">
        <w:rPr>
          <w:rFonts w:ascii="Arial" w:hAnsi="Arial" w:cs="Arial"/>
          <w:sz w:val="24"/>
          <w:szCs w:val="24"/>
        </w:rPr>
        <w:t>Kapton</w:t>
      </w:r>
      <w:proofErr w:type="spellEnd"/>
      <w:r w:rsidR="00360C3D" w:rsidRPr="000F0224">
        <w:rPr>
          <w:rFonts w:ascii="Arial" w:hAnsi="Arial" w:cs="Arial"/>
          <w:sz w:val="24"/>
          <w:szCs w:val="24"/>
        </w:rPr>
        <w:t xml:space="preserve"> tape. </w:t>
      </w:r>
      <w:r w:rsidR="00BD2D57">
        <w:rPr>
          <w:rFonts w:ascii="Arial" w:hAnsi="Arial" w:cs="Arial"/>
          <w:sz w:val="24"/>
          <w:szCs w:val="24"/>
        </w:rPr>
        <w:t xml:space="preserve">The parts have to be top-gunned before the install if </w:t>
      </w:r>
      <w:r w:rsidR="00BD2D57">
        <w:rPr>
          <w:rFonts w:ascii="Arial" w:hAnsi="Arial" w:cs="Arial"/>
          <w:sz w:val="24"/>
          <w:szCs w:val="24"/>
        </w:rPr>
        <w:lastRenderedPageBreak/>
        <w:t>wipes with unsealed edge were used. Clean</w:t>
      </w:r>
      <w:r w:rsidR="00533240">
        <w:rPr>
          <w:rFonts w:ascii="Arial" w:hAnsi="Arial" w:cs="Arial"/>
          <w:sz w:val="24"/>
          <w:szCs w:val="24"/>
        </w:rPr>
        <w:t xml:space="preserve"> </w:t>
      </w:r>
      <w:r w:rsidR="00BD2D57">
        <w:rPr>
          <w:rFonts w:ascii="Arial" w:hAnsi="Arial" w:cs="Arial"/>
          <w:sz w:val="24"/>
          <w:szCs w:val="24"/>
        </w:rPr>
        <w:t>C3 covers are preferable to use instead (if available).</w:t>
      </w:r>
    </w:p>
    <w:p w:rsidR="00C60782" w:rsidRPr="00306F02" w:rsidRDefault="00C60782" w:rsidP="00C60782">
      <w:pPr>
        <w:pStyle w:val="ListParagraph"/>
        <w:numPr>
          <w:ilvl w:val="0"/>
          <w:numId w:val="27"/>
        </w:numPr>
        <w:ind w:left="792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Parts with machine finish can be wrapped in one layer of the </w:t>
      </w:r>
      <w:r>
        <w:rPr>
          <w:rFonts w:ascii="Arial" w:hAnsi="Arial" w:cs="Arial"/>
          <w:sz w:val="24"/>
          <w:szCs w:val="24"/>
        </w:rPr>
        <w:t xml:space="preserve">of </w:t>
      </w:r>
      <w:r w:rsidRPr="00306F02">
        <w:rPr>
          <w:rFonts w:ascii="Arial" w:hAnsi="Arial" w:cs="Arial"/>
          <w:sz w:val="24"/>
          <w:szCs w:val="24"/>
        </w:rPr>
        <w:t>dry clean-room wipes</w:t>
      </w:r>
      <w:r>
        <w:rPr>
          <w:rFonts w:ascii="Arial" w:hAnsi="Arial" w:cs="Arial"/>
          <w:sz w:val="24"/>
          <w:szCs w:val="24"/>
        </w:rPr>
        <w:t xml:space="preserve"> and then one layer of Al foil instead of using</w:t>
      </w:r>
      <w:r w:rsidR="00147683">
        <w:rPr>
          <w:rFonts w:ascii="Arial" w:hAnsi="Arial" w:cs="Arial"/>
          <w:sz w:val="24"/>
          <w:szCs w:val="24"/>
        </w:rPr>
        <w:t xml:space="preserve"> a second wipe with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kapton</w:t>
      </w:r>
      <w:proofErr w:type="spellEnd"/>
      <w:r>
        <w:rPr>
          <w:rFonts w:ascii="Arial" w:hAnsi="Arial" w:cs="Arial"/>
          <w:sz w:val="24"/>
          <w:szCs w:val="24"/>
        </w:rPr>
        <w:t xml:space="preserve"> tape</w:t>
      </w:r>
    </w:p>
    <w:p w:rsidR="005F48B2" w:rsidRDefault="00360C3D" w:rsidP="00C60782">
      <w:pPr>
        <w:pStyle w:val="ListParagraph"/>
        <w:numPr>
          <w:ilvl w:val="0"/>
          <w:numId w:val="27"/>
        </w:numPr>
        <w:ind w:left="792"/>
        <w:jc w:val="both"/>
        <w:rPr>
          <w:rFonts w:ascii="Arial" w:hAnsi="Arial" w:cs="Arial"/>
          <w:sz w:val="24"/>
          <w:szCs w:val="24"/>
        </w:rPr>
      </w:pPr>
      <w:r w:rsidRPr="00C60782">
        <w:rPr>
          <w:rFonts w:ascii="Arial" w:hAnsi="Arial" w:cs="Arial"/>
          <w:sz w:val="24"/>
          <w:szCs w:val="24"/>
        </w:rPr>
        <w:t>Bags should be labelled</w:t>
      </w:r>
      <w:r w:rsidR="000F0224" w:rsidRPr="00C60782">
        <w:rPr>
          <w:rFonts w:ascii="Arial" w:hAnsi="Arial" w:cs="Arial"/>
          <w:sz w:val="24"/>
          <w:szCs w:val="24"/>
        </w:rPr>
        <w:t xml:space="preserve"> as normal with part number etc.</w:t>
      </w:r>
    </w:p>
    <w:p w:rsidR="00C60782" w:rsidRDefault="00C60782" w:rsidP="00C60782">
      <w:pPr>
        <w:pStyle w:val="Heading1"/>
      </w:pPr>
      <w:r>
        <w:t>Pre- and post-install handling</w:t>
      </w:r>
    </w:p>
    <w:p w:rsidR="00C60782" w:rsidRPr="00F1192A" w:rsidRDefault="00C60782" w:rsidP="00F1192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F1192A">
        <w:rPr>
          <w:rFonts w:ascii="Arial" w:hAnsi="Arial" w:cs="Arial"/>
          <w:sz w:val="24"/>
          <w:szCs w:val="24"/>
        </w:rPr>
        <w:t xml:space="preserve">Inspect the baffles for dust, scratches, </w:t>
      </w:r>
      <w:proofErr w:type="spellStart"/>
      <w:r w:rsidRPr="00F1192A">
        <w:rPr>
          <w:rFonts w:ascii="Arial" w:hAnsi="Arial" w:cs="Arial"/>
          <w:sz w:val="24"/>
          <w:szCs w:val="24"/>
        </w:rPr>
        <w:t>etc</w:t>
      </w:r>
      <w:proofErr w:type="spellEnd"/>
      <w:r w:rsidRPr="00F1192A">
        <w:rPr>
          <w:rFonts w:ascii="Arial" w:hAnsi="Arial" w:cs="Arial"/>
          <w:sz w:val="24"/>
          <w:szCs w:val="24"/>
        </w:rPr>
        <w:t xml:space="preserve">  …</w:t>
      </w:r>
    </w:p>
    <w:p w:rsidR="00C60782" w:rsidRPr="00F1192A" w:rsidRDefault="00C60782" w:rsidP="00F1192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F1192A">
        <w:rPr>
          <w:rFonts w:ascii="Arial" w:hAnsi="Arial" w:cs="Arial"/>
          <w:sz w:val="24"/>
          <w:szCs w:val="24"/>
        </w:rPr>
        <w:t>Parts have to be top-gunned before install if they were wrapped in wipes with unsealed edge or/and if any signs of dust accumulation occur</w:t>
      </w:r>
    </w:p>
    <w:p w:rsidR="00C60782" w:rsidRPr="00F1192A" w:rsidRDefault="00C60782" w:rsidP="00F1192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F1192A">
        <w:rPr>
          <w:rFonts w:ascii="Arial" w:hAnsi="Arial" w:cs="Arial"/>
          <w:sz w:val="24"/>
          <w:szCs w:val="24"/>
        </w:rPr>
        <w:t>Already installed DLC coated baffles can be drag wiped</w:t>
      </w:r>
      <w:r w:rsidR="00F1192A">
        <w:rPr>
          <w:rFonts w:ascii="Arial" w:hAnsi="Arial" w:cs="Arial"/>
          <w:sz w:val="24"/>
          <w:szCs w:val="24"/>
        </w:rPr>
        <w:t xml:space="preserve"> with</w:t>
      </w:r>
      <w:r w:rsidRPr="00F1192A">
        <w:rPr>
          <w:rFonts w:ascii="Arial" w:hAnsi="Arial" w:cs="Arial"/>
          <w:sz w:val="24"/>
          <w:szCs w:val="24"/>
        </w:rPr>
        <w:t xml:space="preserve"> </w:t>
      </w:r>
      <w:r w:rsidR="00F1192A" w:rsidRPr="000F0224">
        <w:rPr>
          <w:rFonts w:ascii="Arial" w:hAnsi="Arial" w:cs="Arial"/>
          <w:sz w:val="24"/>
          <w:szCs w:val="24"/>
        </w:rPr>
        <w:t>Pre-wetted Vectra Alpha 10, TX8410</w:t>
      </w:r>
      <w:r w:rsidR="00F1192A">
        <w:rPr>
          <w:rFonts w:ascii="Arial" w:hAnsi="Arial" w:cs="Arial"/>
          <w:sz w:val="24"/>
          <w:szCs w:val="24"/>
        </w:rPr>
        <w:t xml:space="preserve"> </w:t>
      </w:r>
      <w:r w:rsidRPr="00F1192A">
        <w:rPr>
          <w:rFonts w:ascii="Arial" w:hAnsi="Arial" w:cs="Arial"/>
          <w:sz w:val="24"/>
          <w:szCs w:val="24"/>
        </w:rPr>
        <w:t xml:space="preserve">wipes instead of top-gunning </w:t>
      </w:r>
      <w:bookmarkStart w:id="0" w:name="_GoBack"/>
      <w:bookmarkEnd w:id="0"/>
    </w:p>
    <w:p w:rsidR="00C60782" w:rsidRPr="00C60782" w:rsidRDefault="00C60782" w:rsidP="00C60782">
      <w:pPr>
        <w:pStyle w:val="Heading1"/>
        <w:numPr>
          <w:ilvl w:val="0"/>
          <w:numId w:val="0"/>
        </w:numPr>
        <w:ind w:left="432"/>
      </w:pPr>
    </w:p>
    <w:sectPr w:rsidR="00C60782" w:rsidRPr="00C60782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D0" w:rsidRDefault="00502ED0">
      <w:r>
        <w:separator/>
      </w:r>
    </w:p>
  </w:endnote>
  <w:endnote w:type="continuationSeparator" w:id="0">
    <w:p w:rsidR="00502ED0" w:rsidRDefault="0050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B2" w:rsidRDefault="005F4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B2" w:rsidRDefault="005F48B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683">
      <w:rPr>
        <w:rStyle w:val="PageNumber"/>
        <w:noProof/>
      </w:rPr>
      <w:t>3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D0" w:rsidRDefault="00502ED0">
      <w:r>
        <w:separator/>
      </w:r>
    </w:p>
  </w:footnote>
  <w:footnote w:type="continuationSeparator" w:id="0">
    <w:p w:rsidR="00502ED0" w:rsidRDefault="0050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B2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8E7496">
      <w:rPr>
        <w:sz w:val="20"/>
      </w:rPr>
      <w:tab/>
      <w:t>LIGO-</w:t>
    </w:r>
    <w:r w:rsidR="000F0224" w:rsidRPr="000F0224">
      <w:rPr>
        <w:rFonts w:ascii="Arial" w:hAnsi="Arial" w:cs="Arial"/>
        <w:szCs w:val="24"/>
      </w:rPr>
      <w:t xml:space="preserve"> </w:t>
    </w:r>
    <w:r w:rsidR="000F0224" w:rsidRPr="000F0224">
      <w:rPr>
        <w:sz w:val="20"/>
      </w:rPr>
      <w:t>E1700309-v</w:t>
    </w:r>
    <w:r w:rsidR="00C60782">
      <w:rPr>
        <w:sz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502ED0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833182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DA866BC"/>
    <w:multiLevelType w:val="hybridMultilevel"/>
    <w:tmpl w:val="5310F736"/>
    <w:lvl w:ilvl="0" w:tplc="0A3AC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4B6E48"/>
    <w:multiLevelType w:val="hybridMultilevel"/>
    <w:tmpl w:val="5310F736"/>
    <w:lvl w:ilvl="0" w:tplc="0A3AC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06845"/>
    <w:multiLevelType w:val="hybridMultilevel"/>
    <w:tmpl w:val="5310F736"/>
    <w:lvl w:ilvl="0" w:tplc="0A3AC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4C631E6"/>
    <w:multiLevelType w:val="hybridMultilevel"/>
    <w:tmpl w:val="8748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6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F0A2928"/>
    <w:multiLevelType w:val="hybridMultilevel"/>
    <w:tmpl w:val="49A23D60"/>
    <w:lvl w:ilvl="0" w:tplc="F2928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14"/>
  </w:num>
  <w:num w:numId="10">
    <w:abstractNumId w:val="2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8"/>
  </w:num>
  <w:num w:numId="16">
    <w:abstractNumId w:val="12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7"/>
  </w:num>
  <w:num w:numId="23">
    <w:abstractNumId w:val="17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1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878EE"/>
    <w:rsid w:val="000F0224"/>
    <w:rsid w:val="00147683"/>
    <w:rsid w:val="001C6E58"/>
    <w:rsid w:val="002D20D0"/>
    <w:rsid w:val="00360C3D"/>
    <w:rsid w:val="0036226E"/>
    <w:rsid w:val="00396FE7"/>
    <w:rsid w:val="003C2762"/>
    <w:rsid w:val="00476205"/>
    <w:rsid w:val="00502ED0"/>
    <w:rsid w:val="00533240"/>
    <w:rsid w:val="0054334E"/>
    <w:rsid w:val="00545BBB"/>
    <w:rsid w:val="00563A05"/>
    <w:rsid w:val="005A5262"/>
    <w:rsid w:val="005E13FE"/>
    <w:rsid w:val="005F48B2"/>
    <w:rsid w:val="006A058E"/>
    <w:rsid w:val="006B283D"/>
    <w:rsid w:val="00776291"/>
    <w:rsid w:val="0078145B"/>
    <w:rsid w:val="00804093"/>
    <w:rsid w:val="00832753"/>
    <w:rsid w:val="008E7496"/>
    <w:rsid w:val="009022BF"/>
    <w:rsid w:val="009A483E"/>
    <w:rsid w:val="00A33A9A"/>
    <w:rsid w:val="00B2105C"/>
    <w:rsid w:val="00B80680"/>
    <w:rsid w:val="00BD2D57"/>
    <w:rsid w:val="00C40592"/>
    <w:rsid w:val="00C554DE"/>
    <w:rsid w:val="00C60782"/>
    <w:rsid w:val="00CC3B9F"/>
    <w:rsid w:val="00CE34E1"/>
    <w:rsid w:val="00DA5AF7"/>
    <w:rsid w:val="00DF109B"/>
    <w:rsid w:val="00E271E7"/>
    <w:rsid w:val="00E359DD"/>
    <w:rsid w:val="00E5521A"/>
    <w:rsid w:val="00E66298"/>
    <w:rsid w:val="00F1192A"/>
    <w:rsid w:val="00F5292B"/>
    <w:rsid w:val="00F65452"/>
    <w:rsid w:val="00F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EB8D2D4-5E93-4263-B975-547C730A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A33A9A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C6E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607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07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F11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vwr.com/store/product/8615562/cleanroom-wipes-pre-saturated-alphasat-with-vectra-alpha-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go.caltech.ed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aananyev</cp:lastModifiedBy>
  <cp:revision>3</cp:revision>
  <cp:lastPrinted>2018-03-23T17:58:00Z</cp:lastPrinted>
  <dcterms:created xsi:type="dcterms:W3CDTF">2018-03-23T20:34:00Z</dcterms:created>
  <dcterms:modified xsi:type="dcterms:W3CDTF">2018-03-23T20:51:00Z</dcterms:modified>
</cp:coreProperties>
</file>