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3505D" w14:textId="7A9D1D32" w:rsidR="004E6FDD" w:rsidRPr="00246774" w:rsidRDefault="00D02BBE">
      <w:pPr>
        <w:pStyle w:val="Heading1"/>
        <w:jc w:val="center"/>
      </w:pPr>
      <w:r w:rsidRPr="00246774">
        <w:t xml:space="preserve">LSC </w:t>
      </w:r>
      <w:r w:rsidR="00D379AA">
        <w:t>Activities</w:t>
      </w:r>
      <w:r w:rsidR="00F8056E" w:rsidRPr="00246774">
        <w:t xml:space="preserve"> P</w:t>
      </w:r>
      <w:r w:rsidRPr="00246774">
        <w:t>rogram</w:t>
      </w:r>
    </w:p>
    <w:p w14:paraId="649EF8CB" w14:textId="77777777" w:rsidR="004E6FDD" w:rsidRPr="00246774" w:rsidRDefault="004E6FDD">
      <w:pPr>
        <w:widowControl w:val="0"/>
        <w:spacing w:after="0"/>
        <w:rPr>
          <w:rFonts w:ascii="Calibri" w:hAnsi="Calibri" w:cs="Helvetica"/>
        </w:rPr>
      </w:pPr>
    </w:p>
    <w:p w14:paraId="41BB6B13" w14:textId="597C0D91" w:rsidR="004E6FDD" w:rsidRPr="00246774" w:rsidRDefault="00D02BBE" w:rsidP="00F2200F">
      <w:pPr>
        <w:widowControl w:val="0"/>
        <w:spacing w:after="0"/>
        <w:rPr>
          <w:rFonts w:cs="Helvetica"/>
          <w:bCs/>
        </w:rPr>
      </w:pPr>
      <w:r w:rsidRPr="00246774">
        <w:rPr>
          <w:rFonts w:cs="Helvetica"/>
        </w:rPr>
        <w:t xml:space="preserve">The LSC has </w:t>
      </w:r>
      <w:r w:rsidR="000F0CA7" w:rsidRPr="00246774">
        <w:rPr>
          <w:rFonts w:cs="Helvetica"/>
        </w:rPr>
        <w:t xml:space="preserve">an </w:t>
      </w:r>
      <w:r w:rsidR="00A93CA5" w:rsidRPr="00246774">
        <w:rPr>
          <w:rFonts w:cs="Helvetica"/>
          <w:bCs/>
        </w:rPr>
        <w:t xml:space="preserve">LSC Activities Program, enabling the Collaboration to carry out its mission. </w:t>
      </w:r>
      <w:r w:rsidR="000F0CA7" w:rsidRPr="00246774">
        <w:rPr>
          <w:rFonts w:cs="Helvetica"/>
          <w:bCs/>
        </w:rPr>
        <w:t xml:space="preserve">The Fellows Program (see </w:t>
      </w:r>
      <w:hyperlink r:id="rId8" w:history="1">
        <w:r w:rsidR="000F0CA7" w:rsidRPr="00292949">
          <w:rPr>
            <w:rStyle w:val="Hyperlink"/>
            <w:rFonts w:cs="Helvetica"/>
            <w:bCs/>
          </w:rPr>
          <w:t>M1400310</w:t>
        </w:r>
      </w:hyperlink>
      <w:r w:rsidR="000F0CA7" w:rsidRPr="00246774">
        <w:rPr>
          <w:rFonts w:cs="Helvetica"/>
          <w:bCs/>
        </w:rPr>
        <w:t xml:space="preserve">) is a significant element of the Activities Program. </w:t>
      </w:r>
      <w:r w:rsidR="00A93CA5" w:rsidRPr="00246774">
        <w:rPr>
          <w:rFonts w:cs="Helvetica"/>
          <w:bCs/>
        </w:rPr>
        <w:t xml:space="preserve">Other aspects are support for publication fees, and support for LSC-mandated service travel to e.g., the annual MoU review. </w:t>
      </w:r>
    </w:p>
    <w:p w14:paraId="107539F8" w14:textId="20B3C37B" w:rsidR="000F0CA7" w:rsidRPr="00246774" w:rsidRDefault="000F0CA7" w:rsidP="00E10B41">
      <w:pPr>
        <w:pStyle w:val="Heading1"/>
      </w:pPr>
      <w:r w:rsidRPr="00246774">
        <w:t>Costs and their allocation</w:t>
      </w:r>
    </w:p>
    <w:p w14:paraId="7C3DA406" w14:textId="77F8BAB5" w:rsidR="00F8056E" w:rsidRPr="00246774" w:rsidRDefault="00D379AA" w:rsidP="00F8056E">
      <w:pPr>
        <w:pStyle w:val="ListParagraph"/>
        <w:numPr>
          <w:ilvl w:val="0"/>
          <w:numId w:val="4"/>
        </w:numPr>
      </w:pPr>
      <w:r>
        <w:t>For the F</w:t>
      </w:r>
      <w:r w:rsidR="000F0CA7" w:rsidRPr="00246774">
        <w:t xml:space="preserve">ellows program, the contribution to the LSC Activities Program is </w:t>
      </w:r>
      <w:r w:rsidR="00F8056E" w:rsidRPr="00246774">
        <w:t xml:space="preserve">calculated as follows: </w:t>
      </w:r>
      <w:r w:rsidR="00F8056E" w:rsidRPr="00246774">
        <w:rPr>
          <w:rFonts w:eastAsia="Times New Roman"/>
        </w:rPr>
        <w:t xml:space="preserve">The number of fellow-months per year is calculated as the number of authors in the block divided by N, times 8 (number of LSC fellows), times 4 (quarters per year), and rounded up. </w:t>
      </w:r>
    </w:p>
    <w:p w14:paraId="63CA7E93" w14:textId="1F8C46BE" w:rsidR="00F8056E" w:rsidRPr="00246774" w:rsidRDefault="00F8056E" w:rsidP="00F8056E">
      <w:pPr>
        <w:pStyle w:val="ListParagraph"/>
        <w:numPr>
          <w:ilvl w:val="0"/>
          <w:numId w:val="4"/>
        </w:numPr>
      </w:pPr>
      <w:r w:rsidRPr="00246774">
        <w:t xml:space="preserve">For the Publication costs, the Council </w:t>
      </w:r>
      <w:r w:rsidR="00D379AA">
        <w:t>votes to allocate an appropriate amount</w:t>
      </w:r>
      <w:r w:rsidRPr="00246774">
        <w:t xml:space="preserve"> for the year, allocated according to the number of authors per institution.</w:t>
      </w:r>
    </w:p>
    <w:p w14:paraId="6A66CC1B" w14:textId="316F00A1" w:rsidR="00F8056E" w:rsidRPr="00246774" w:rsidRDefault="00F8056E" w:rsidP="00F8056E">
      <w:pPr>
        <w:pStyle w:val="ListParagraph"/>
        <w:numPr>
          <w:ilvl w:val="0"/>
          <w:numId w:val="4"/>
        </w:numPr>
      </w:pPr>
      <w:r w:rsidRPr="00246774">
        <w:t>For the LSC S</w:t>
      </w:r>
      <w:r w:rsidR="00D379AA">
        <w:t>ervice Travel, the Council votes</w:t>
      </w:r>
      <w:r w:rsidRPr="00246774">
        <w:t xml:space="preserve"> to allocate </w:t>
      </w:r>
      <w:r w:rsidR="00D379AA">
        <w:t xml:space="preserve">an appropriate amount for the </w:t>
      </w:r>
      <w:r w:rsidRPr="00246774">
        <w:t>year, allocated according to the number of authors per institution</w:t>
      </w:r>
      <w:r w:rsidR="00DD0064" w:rsidRPr="00246774">
        <w:t xml:space="preserve">. </w:t>
      </w:r>
    </w:p>
    <w:p w14:paraId="4EFC46A0" w14:textId="5C1D05A3" w:rsidR="00246774" w:rsidRPr="00246774" w:rsidRDefault="00D379AA" w:rsidP="00246774">
      <w:r>
        <w:t xml:space="preserve">We </w:t>
      </w:r>
      <w:r w:rsidR="00246774" w:rsidRPr="00246774">
        <w:t>synchronize the collection and disbursement of fees with the LIGO Laboratory Business office fiscal year</w:t>
      </w:r>
      <w:r>
        <w:t>.</w:t>
      </w:r>
      <w:r w:rsidR="00246774" w:rsidRPr="00246774">
        <w:t xml:space="preserve"> </w:t>
      </w:r>
    </w:p>
    <w:p w14:paraId="04B10792" w14:textId="606E1654" w:rsidR="00F2200F" w:rsidRPr="00246774" w:rsidRDefault="00F2200F" w:rsidP="00F2200F">
      <w:pPr>
        <w:rPr>
          <w:b/>
        </w:rPr>
      </w:pPr>
      <w:r w:rsidRPr="00246774">
        <w:rPr>
          <w:b/>
        </w:rPr>
        <w:t>This leads to a cost per author</w:t>
      </w:r>
      <w:r w:rsidR="00D379AA">
        <w:rPr>
          <w:b/>
        </w:rPr>
        <w:t xml:space="preserve"> for FY 2017-2018</w:t>
      </w:r>
      <w:r w:rsidRPr="00246774">
        <w:rPr>
          <w:b/>
        </w:rPr>
        <w:t xml:space="preserve"> </w:t>
      </w:r>
      <w:r w:rsidR="00246774" w:rsidRPr="00246774">
        <w:rPr>
          <w:b/>
        </w:rPr>
        <w:t>of $498.00 USD, distributed among 802 authors.</w:t>
      </w:r>
    </w:p>
    <w:p w14:paraId="339B1393" w14:textId="3BC39A4B" w:rsidR="000F0CA7" w:rsidRPr="00246774" w:rsidRDefault="00DD0064" w:rsidP="000F0CA7">
      <w:pPr>
        <w:rPr>
          <w:rFonts w:eastAsia="Times New Roman"/>
        </w:rPr>
      </w:pPr>
      <w:r w:rsidRPr="00246774">
        <w:t xml:space="preserve">Thus, the </w:t>
      </w:r>
      <w:r w:rsidR="000F0CA7" w:rsidRPr="00246774">
        <w:t>2017-18 blocks and their annual obligations</w:t>
      </w:r>
      <w:r w:rsidRPr="00246774">
        <w:t xml:space="preserve"> for the LSC Activities Program</w:t>
      </w:r>
      <w:r w:rsidR="000F0CA7" w:rsidRPr="00246774">
        <w:t xml:space="preserve">, following the February 2017 author list </w:t>
      </w:r>
      <w:hyperlink r:id="rId9" w:history="1">
        <w:r w:rsidR="00292949">
          <w:rPr>
            <w:rStyle w:val="Hyperlink"/>
          </w:rPr>
          <w:t>https://d</w:t>
        </w:r>
        <w:r w:rsidR="00292949">
          <w:rPr>
            <w:rStyle w:val="Hyperlink"/>
          </w:rPr>
          <w:t>c</w:t>
        </w:r>
        <w:r w:rsidR="00292949">
          <w:rPr>
            <w:rStyle w:val="Hyperlink"/>
          </w:rPr>
          <w:t>c.ligo.org/LIGO-M1700032/public</w:t>
        </w:r>
      </w:hyperlink>
      <w:r w:rsidRPr="00246774">
        <w:t>, are given in the table below</w:t>
      </w:r>
      <w:r w:rsidR="000F0CA7" w:rsidRPr="00246774">
        <w:rPr>
          <w:rFonts w:eastAsia="Times New Roman"/>
        </w:rPr>
        <w:t xml:space="preserve">.  The total of eligible authors in the list is 802.  </w:t>
      </w:r>
    </w:p>
    <w:p w14:paraId="5F4AB3DC" w14:textId="77777777" w:rsidR="000F0CA7" w:rsidRPr="00246774" w:rsidRDefault="000F0CA7" w:rsidP="000F0CA7">
      <w:pPr>
        <w:rPr>
          <w:rFonts w:eastAsia="Times New Roman"/>
        </w:rPr>
      </w:pPr>
      <w:r w:rsidRPr="00246774">
        <w:rPr>
          <w:rFonts w:eastAsia="Times New Roman"/>
        </w:rPr>
        <w:t>The last column is calculated as the number of authors multiplied by $</w:t>
      </w:r>
      <w:r w:rsidR="00944A4A" w:rsidRPr="00246774">
        <w:rPr>
          <w:rFonts w:eastAsia="Times New Roman"/>
        </w:rPr>
        <w:t>498</w:t>
      </w:r>
      <w:r w:rsidRPr="00246774">
        <w:rPr>
          <w:rFonts w:eastAsia="Times New Roman"/>
        </w:rPr>
        <w:t>.</w:t>
      </w:r>
    </w:p>
    <w:tbl>
      <w:tblPr>
        <w:tblW w:w="0" w:type="auto"/>
        <w:tblBorders>
          <w:top w:val="single" w:sz="8" w:space="0" w:color="000001"/>
          <w:left w:val="nil"/>
          <w:bottom w:val="single" w:sz="8" w:space="0" w:color="000001"/>
          <w:right w:val="nil"/>
          <w:insideH w:val="single" w:sz="8" w:space="0" w:color="000001"/>
          <w:insideV w:val="nil"/>
        </w:tblBorders>
        <w:tblLook w:val="04A0" w:firstRow="1" w:lastRow="0" w:firstColumn="1" w:lastColumn="0" w:noHBand="0" w:noVBand="1"/>
      </w:tblPr>
      <w:tblGrid>
        <w:gridCol w:w="2882"/>
        <w:gridCol w:w="1270"/>
        <w:gridCol w:w="2511"/>
        <w:gridCol w:w="1973"/>
      </w:tblGrid>
      <w:tr w:rsidR="000F0CA7" w:rsidRPr="00246774" w14:paraId="6C21C7D9" w14:textId="77777777" w:rsidTr="00A07F7E">
        <w:trPr>
          <w:cantSplit/>
        </w:trPr>
        <w:tc>
          <w:tcPr>
            <w:tcW w:w="2882" w:type="dxa"/>
            <w:tcBorders>
              <w:top w:val="single" w:sz="8" w:space="0" w:color="000001"/>
              <w:left w:val="nil"/>
              <w:bottom w:val="single" w:sz="8" w:space="0" w:color="000001"/>
              <w:right w:val="nil"/>
            </w:tcBorders>
            <w:shd w:val="clear" w:color="auto" w:fill="FFFFFF"/>
          </w:tcPr>
          <w:p w14:paraId="4FE2E75F" w14:textId="77777777" w:rsidR="000F0CA7" w:rsidRPr="00246774" w:rsidRDefault="000F0CA7" w:rsidP="00A07F7E">
            <w:pPr>
              <w:spacing w:after="0"/>
              <w:rPr>
                <w:b/>
                <w:bCs/>
                <w:color w:val="000000"/>
              </w:rPr>
            </w:pPr>
            <w:r w:rsidRPr="00246774">
              <w:rPr>
                <w:b/>
                <w:bCs/>
                <w:color w:val="000000"/>
              </w:rPr>
              <w:t>Block</w:t>
            </w:r>
          </w:p>
        </w:tc>
        <w:tc>
          <w:tcPr>
            <w:tcW w:w="1270" w:type="dxa"/>
            <w:tcBorders>
              <w:top w:val="single" w:sz="8" w:space="0" w:color="000001"/>
              <w:left w:val="nil"/>
              <w:bottom w:val="single" w:sz="8" w:space="0" w:color="000001"/>
              <w:right w:val="nil"/>
            </w:tcBorders>
            <w:shd w:val="clear" w:color="auto" w:fill="FFFFFF"/>
          </w:tcPr>
          <w:p w14:paraId="4ED3094B" w14:textId="77777777" w:rsidR="000F0CA7" w:rsidRPr="00246774" w:rsidRDefault="000F0CA7" w:rsidP="00A07F7E">
            <w:pPr>
              <w:spacing w:after="0"/>
              <w:rPr>
                <w:b/>
                <w:bCs/>
                <w:color w:val="000000" w:themeColor="text1"/>
              </w:rPr>
            </w:pPr>
            <w:r w:rsidRPr="00246774">
              <w:rPr>
                <w:b/>
                <w:bCs/>
                <w:color w:val="000000" w:themeColor="text1"/>
              </w:rPr>
              <w:t>Authors</w:t>
            </w:r>
          </w:p>
        </w:tc>
        <w:tc>
          <w:tcPr>
            <w:tcW w:w="2511" w:type="dxa"/>
            <w:tcBorders>
              <w:top w:val="single" w:sz="8" w:space="0" w:color="000001"/>
              <w:left w:val="nil"/>
              <w:bottom w:val="single" w:sz="8" w:space="0" w:color="000001"/>
              <w:right w:val="nil"/>
            </w:tcBorders>
            <w:shd w:val="clear" w:color="auto" w:fill="FFFFFF"/>
          </w:tcPr>
          <w:p w14:paraId="11185DA9" w14:textId="77777777" w:rsidR="000F0CA7" w:rsidRPr="00246774" w:rsidRDefault="000F0CA7" w:rsidP="00A07F7E">
            <w:pPr>
              <w:spacing w:after="0"/>
              <w:rPr>
                <w:b/>
                <w:bCs/>
                <w:color w:val="000000" w:themeColor="text1"/>
              </w:rPr>
            </w:pPr>
            <w:r w:rsidRPr="00246774">
              <w:rPr>
                <w:b/>
                <w:bCs/>
                <w:color w:val="000000" w:themeColor="text1"/>
              </w:rPr>
              <w:t>Fellow-quarters/</w:t>
            </w:r>
            <w:proofErr w:type="spellStart"/>
            <w:r w:rsidRPr="00246774">
              <w:rPr>
                <w:b/>
                <w:bCs/>
                <w:color w:val="000000" w:themeColor="text1"/>
              </w:rPr>
              <w:t>yr</w:t>
            </w:r>
            <w:proofErr w:type="spellEnd"/>
          </w:p>
        </w:tc>
        <w:tc>
          <w:tcPr>
            <w:tcW w:w="1973" w:type="dxa"/>
            <w:tcBorders>
              <w:top w:val="single" w:sz="8" w:space="0" w:color="000001"/>
              <w:left w:val="nil"/>
              <w:bottom w:val="single" w:sz="8" w:space="0" w:color="000001"/>
              <w:right w:val="nil"/>
            </w:tcBorders>
            <w:shd w:val="clear" w:color="auto" w:fill="FFFFFF"/>
          </w:tcPr>
          <w:p w14:paraId="6ECDE6F2" w14:textId="77777777" w:rsidR="000F0CA7" w:rsidRPr="00246774" w:rsidRDefault="000F0CA7" w:rsidP="00A07F7E">
            <w:pPr>
              <w:spacing w:after="0"/>
              <w:rPr>
                <w:b/>
                <w:bCs/>
                <w:color w:val="000000" w:themeColor="text1"/>
              </w:rPr>
            </w:pPr>
            <w:r w:rsidRPr="00246774">
              <w:rPr>
                <w:b/>
                <w:bCs/>
                <w:color w:val="000000" w:themeColor="text1"/>
              </w:rPr>
              <w:t>US$</w:t>
            </w:r>
          </w:p>
        </w:tc>
      </w:tr>
      <w:tr w:rsidR="000F0CA7" w:rsidRPr="00246774" w14:paraId="0F31B38A" w14:textId="77777777" w:rsidTr="00A07F7E">
        <w:tc>
          <w:tcPr>
            <w:tcW w:w="2882" w:type="dxa"/>
            <w:tcBorders>
              <w:top w:val="nil"/>
              <w:left w:val="nil"/>
              <w:bottom w:val="nil"/>
              <w:right w:val="nil"/>
            </w:tcBorders>
            <w:shd w:val="clear" w:color="auto" w:fill="FFFFFF"/>
          </w:tcPr>
          <w:p w14:paraId="66FCCC70" w14:textId="77777777" w:rsidR="000F0CA7" w:rsidRPr="00246774" w:rsidRDefault="000F0CA7" w:rsidP="00A07F7E">
            <w:pPr>
              <w:tabs>
                <w:tab w:val="center" w:pos="999"/>
              </w:tabs>
              <w:spacing w:after="0"/>
              <w:rPr>
                <w:b/>
                <w:bCs/>
                <w:color w:val="000000"/>
              </w:rPr>
            </w:pPr>
            <w:r w:rsidRPr="00246774">
              <w:rPr>
                <w:b/>
                <w:bCs/>
                <w:color w:val="000000"/>
              </w:rPr>
              <w:t>LIGO Lab.</w:t>
            </w:r>
          </w:p>
        </w:tc>
        <w:tc>
          <w:tcPr>
            <w:tcW w:w="1270" w:type="dxa"/>
            <w:tcBorders>
              <w:top w:val="nil"/>
              <w:left w:val="nil"/>
              <w:bottom w:val="nil"/>
              <w:right w:val="nil"/>
            </w:tcBorders>
            <w:shd w:val="clear" w:color="auto" w:fill="FFFFFF"/>
          </w:tcPr>
          <w:p w14:paraId="0B3BC13A" w14:textId="77777777" w:rsidR="000F0CA7" w:rsidRPr="00246774" w:rsidRDefault="007E6C2D" w:rsidP="00A07F7E">
            <w:pPr>
              <w:spacing w:after="0"/>
              <w:rPr>
                <w:color w:val="000000" w:themeColor="text1"/>
              </w:rPr>
            </w:pPr>
            <w:r w:rsidRPr="00246774">
              <w:rPr>
                <w:color w:val="000000" w:themeColor="text1"/>
              </w:rPr>
              <w:t>179</w:t>
            </w:r>
          </w:p>
        </w:tc>
        <w:tc>
          <w:tcPr>
            <w:tcW w:w="2511" w:type="dxa"/>
            <w:tcBorders>
              <w:top w:val="nil"/>
              <w:left w:val="nil"/>
              <w:bottom w:val="nil"/>
              <w:right w:val="nil"/>
            </w:tcBorders>
            <w:shd w:val="clear" w:color="auto" w:fill="FFFFFF"/>
          </w:tcPr>
          <w:p w14:paraId="0E708E10" w14:textId="77777777" w:rsidR="000F0CA7" w:rsidRPr="00246774" w:rsidRDefault="000F0CA7" w:rsidP="00A07F7E">
            <w:pPr>
              <w:spacing w:after="0"/>
              <w:rPr>
                <w:color w:val="000000" w:themeColor="text1"/>
              </w:rPr>
            </w:pPr>
            <w:r w:rsidRPr="00246774">
              <w:rPr>
                <w:color w:val="000000" w:themeColor="text1"/>
              </w:rPr>
              <w:t>8</w:t>
            </w:r>
          </w:p>
        </w:tc>
        <w:tc>
          <w:tcPr>
            <w:tcW w:w="1973" w:type="dxa"/>
            <w:tcBorders>
              <w:top w:val="nil"/>
              <w:left w:val="nil"/>
              <w:bottom w:val="nil"/>
              <w:right w:val="nil"/>
            </w:tcBorders>
            <w:shd w:val="clear" w:color="auto" w:fill="FFFFFF"/>
          </w:tcPr>
          <w:p w14:paraId="0F06B3F0" w14:textId="77777777" w:rsidR="007E6C2D" w:rsidRPr="00246774" w:rsidRDefault="000F0CA7" w:rsidP="007E6C2D">
            <w:pPr>
              <w:spacing w:after="0"/>
              <w:rPr>
                <w:color w:val="000000" w:themeColor="text1"/>
              </w:rPr>
            </w:pPr>
            <w:r w:rsidRPr="00246774">
              <w:rPr>
                <w:color w:val="000000" w:themeColor="text1"/>
              </w:rPr>
              <w:t>$</w:t>
            </w:r>
            <w:r w:rsidR="007E6C2D" w:rsidRPr="00246774">
              <w:rPr>
                <w:color w:val="000000" w:themeColor="text1"/>
              </w:rPr>
              <w:t>89,142</w:t>
            </w:r>
          </w:p>
        </w:tc>
      </w:tr>
      <w:tr w:rsidR="000F0CA7" w:rsidRPr="00246774" w14:paraId="6C180C32" w14:textId="77777777" w:rsidTr="00A07F7E">
        <w:tc>
          <w:tcPr>
            <w:tcW w:w="2882" w:type="dxa"/>
            <w:tcBorders>
              <w:top w:val="nil"/>
              <w:left w:val="nil"/>
              <w:bottom w:val="nil"/>
              <w:right w:val="nil"/>
            </w:tcBorders>
            <w:shd w:val="clear" w:color="auto" w:fill="FFFFFF"/>
          </w:tcPr>
          <w:p w14:paraId="00C17533" w14:textId="77777777" w:rsidR="000F0CA7" w:rsidRPr="00246774" w:rsidRDefault="000F0CA7" w:rsidP="00A07F7E">
            <w:pPr>
              <w:spacing w:after="0"/>
              <w:rPr>
                <w:b/>
                <w:bCs/>
                <w:color w:val="000000"/>
              </w:rPr>
            </w:pPr>
            <w:r w:rsidRPr="00246774">
              <w:rPr>
                <w:b/>
                <w:bCs/>
                <w:color w:val="000000"/>
              </w:rPr>
              <w:t xml:space="preserve">US non-Lab. + Canada </w:t>
            </w:r>
          </w:p>
        </w:tc>
        <w:tc>
          <w:tcPr>
            <w:tcW w:w="1270" w:type="dxa"/>
            <w:tcBorders>
              <w:top w:val="nil"/>
              <w:left w:val="nil"/>
              <w:bottom w:val="nil"/>
              <w:right w:val="nil"/>
            </w:tcBorders>
            <w:shd w:val="clear" w:color="auto" w:fill="FFFFFF"/>
          </w:tcPr>
          <w:p w14:paraId="18B9E49F" w14:textId="77777777" w:rsidR="000F0CA7" w:rsidRPr="00246774" w:rsidRDefault="007E6C2D" w:rsidP="00A07F7E">
            <w:pPr>
              <w:spacing w:after="0"/>
              <w:rPr>
                <w:color w:val="000000" w:themeColor="text1"/>
              </w:rPr>
            </w:pPr>
            <w:r w:rsidRPr="00246774">
              <w:rPr>
                <w:color w:val="000000" w:themeColor="text1"/>
              </w:rPr>
              <w:t>267</w:t>
            </w:r>
          </w:p>
        </w:tc>
        <w:tc>
          <w:tcPr>
            <w:tcW w:w="2511" w:type="dxa"/>
            <w:tcBorders>
              <w:top w:val="nil"/>
              <w:left w:val="nil"/>
              <w:bottom w:val="nil"/>
              <w:right w:val="nil"/>
            </w:tcBorders>
            <w:shd w:val="clear" w:color="auto" w:fill="FFFFFF"/>
          </w:tcPr>
          <w:p w14:paraId="2E8458FE" w14:textId="77777777" w:rsidR="000F0CA7" w:rsidRPr="00246774" w:rsidRDefault="00C41B47" w:rsidP="00A07F7E">
            <w:pPr>
              <w:spacing w:after="0"/>
              <w:rPr>
                <w:color w:val="000000" w:themeColor="text1"/>
              </w:rPr>
            </w:pPr>
            <w:r w:rsidRPr="00246774">
              <w:rPr>
                <w:color w:val="000000" w:themeColor="text1"/>
              </w:rPr>
              <w:t>11</w:t>
            </w:r>
          </w:p>
        </w:tc>
        <w:tc>
          <w:tcPr>
            <w:tcW w:w="1973" w:type="dxa"/>
            <w:tcBorders>
              <w:top w:val="nil"/>
              <w:left w:val="nil"/>
              <w:bottom w:val="nil"/>
              <w:right w:val="nil"/>
            </w:tcBorders>
            <w:shd w:val="clear" w:color="auto" w:fill="FFFFFF"/>
          </w:tcPr>
          <w:p w14:paraId="2656D437" w14:textId="77777777" w:rsidR="000F0CA7" w:rsidRPr="00246774" w:rsidRDefault="000F0CA7" w:rsidP="007E6C2D">
            <w:pPr>
              <w:spacing w:after="0"/>
              <w:rPr>
                <w:color w:val="000000" w:themeColor="text1"/>
              </w:rPr>
            </w:pPr>
            <w:r w:rsidRPr="00246774">
              <w:rPr>
                <w:color w:val="000000" w:themeColor="text1"/>
              </w:rPr>
              <w:t>$</w:t>
            </w:r>
            <w:r w:rsidR="007E6C2D" w:rsidRPr="00246774">
              <w:rPr>
                <w:color w:val="000000" w:themeColor="text1"/>
              </w:rPr>
              <w:t>132,966</w:t>
            </w:r>
          </w:p>
        </w:tc>
      </w:tr>
      <w:tr w:rsidR="000F0CA7" w:rsidRPr="00246774" w14:paraId="177B026C" w14:textId="77777777" w:rsidTr="00A07F7E">
        <w:tc>
          <w:tcPr>
            <w:tcW w:w="2882" w:type="dxa"/>
            <w:tcBorders>
              <w:top w:val="nil"/>
              <w:left w:val="nil"/>
              <w:bottom w:val="nil"/>
              <w:right w:val="nil"/>
            </w:tcBorders>
            <w:shd w:val="clear" w:color="auto" w:fill="FFFFFF"/>
          </w:tcPr>
          <w:p w14:paraId="7198C3EC" w14:textId="77777777" w:rsidR="000F0CA7" w:rsidRPr="00246774" w:rsidRDefault="000F0CA7" w:rsidP="00A07F7E">
            <w:pPr>
              <w:spacing w:after="0"/>
              <w:rPr>
                <w:b/>
                <w:bCs/>
                <w:color w:val="000000"/>
              </w:rPr>
            </w:pPr>
            <w:r w:rsidRPr="00246774">
              <w:rPr>
                <w:b/>
                <w:bCs/>
                <w:color w:val="000000"/>
              </w:rPr>
              <w:t>ACIGA</w:t>
            </w:r>
          </w:p>
        </w:tc>
        <w:tc>
          <w:tcPr>
            <w:tcW w:w="1270" w:type="dxa"/>
            <w:tcBorders>
              <w:top w:val="nil"/>
              <w:left w:val="nil"/>
              <w:bottom w:val="nil"/>
              <w:right w:val="nil"/>
            </w:tcBorders>
            <w:shd w:val="clear" w:color="auto" w:fill="FFFFFF"/>
          </w:tcPr>
          <w:p w14:paraId="0CA13098" w14:textId="77777777" w:rsidR="000F0CA7" w:rsidRPr="00246774" w:rsidRDefault="007E6C2D" w:rsidP="00A07F7E">
            <w:pPr>
              <w:spacing w:after="0"/>
              <w:rPr>
                <w:color w:val="000000" w:themeColor="text1"/>
              </w:rPr>
            </w:pPr>
            <w:r w:rsidRPr="00246774">
              <w:rPr>
                <w:color w:val="000000" w:themeColor="text1"/>
              </w:rPr>
              <w:t>44</w:t>
            </w:r>
          </w:p>
        </w:tc>
        <w:tc>
          <w:tcPr>
            <w:tcW w:w="2511" w:type="dxa"/>
            <w:tcBorders>
              <w:top w:val="nil"/>
              <w:left w:val="nil"/>
              <w:bottom w:val="nil"/>
              <w:right w:val="nil"/>
            </w:tcBorders>
            <w:shd w:val="clear" w:color="auto" w:fill="FFFFFF"/>
          </w:tcPr>
          <w:p w14:paraId="1ED1F470" w14:textId="77777777" w:rsidR="000F0CA7" w:rsidRPr="00246774" w:rsidRDefault="000F0CA7" w:rsidP="00A07F7E">
            <w:pPr>
              <w:spacing w:after="0"/>
              <w:rPr>
                <w:color w:val="000000" w:themeColor="text1"/>
              </w:rPr>
            </w:pPr>
            <w:r w:rsidRPr="00246774">
              <w:rPr>
                <w:color w:val="000000" w:themeColor="text1"/>
              </w:rPr>
              <w:t>2</w:t>
            </w:r>
          </w:p>
        </w:tc>
        <w:tc>
          <w:tcPr>
            <w:tcW w:w="1973" w:type="dxa"/>
            <w:tcBorders>
              <w:top w:val="nil"/>
              <w:left w:val="nil"/>
              <w:bottom w:val="nil"/>
              <w:right w:val="nil"/>
            </w:tcBorders>
            <w:shd w:val="clear" w:color="auto" w:fill="FFFFFF"/>
          </w:tcPr>
          <w:p w14:paraId="779B2F85" w14:textId="77777777" w:rsidR="000F0CA7" w:rsidRPr="00246774" w:rsidRDefault="007E6C2D" w:rsidP="00A07F7E">
            <w:pPr>
              <w:spacing w:after="0"/>
              <w:rPr>
                <w:color w:val="000000" w:themeColor="text1"/>
              </w:rPr>
            </w:pPr>
            <w:r w:rsidRPr="00246774">
              <w:rPr>
                <w:color w:val="000000" w:themeColor="text1"/>
              </w:rPr>
              <w:t>$21,912</w:t>
            </w:r>
          </w:p>
        </w:tc>
      </w:tr>
      <w:tr w:rsidR="000F0CA7" w:rsidRPr="00246774" w14:paraId="282EE354" w14:textId="77777777" w:rsidTr="00A07F7E">
        <w:tc>
          <w:tcPr>
            <w:tcW w:w="2882" w:type="dxa"/>
            <w:tcBorders>
              <w:top w:val="nil"/>
              <w:left w:val="nil"/>
              <w:bottom w:val="nil"/>
              <w:right w:val="nil"/>
            </w:tcBorders>
            <w:shd w:val="clear" w:color="auto" w:fill="FFFFFF"/>
          </w:tcPr>
          <w:p w14:paraId="65189B82" w14:textId="77777777" w:rsidR="000F0CA7" w:rsidRPr="00246774" w:rsidRDefault="000F0CA7" w:rsidP="00A07F7E">
            <w:pPr>
              <w:spacing w:after="0"/>
              <w:rPr>
                <w:b/>
                <w:bCs/>
                <w:color w:val="000000"/>
                <w:sz w:val="22"/>
                <w:szCs w:val="22"/>
              </w:rPr>
            </w:pPr>
            <w:r w:rsidRPr="00246774">
              <w:rPr>
                <w:b/>
                <w:bCs/>
                <w:color w:val="000000"/>
                <w:sz w:val="22"/>
                <w:szCs w:val="22"/>
              </w:rPr>
              <w:t>AEI Hann-DAT/Potsdam</w:t>
            </w:r>
          </w:p>
        </w:tc>
        <w:tc>
          <w:tcPr>
            <w:tcW w:w="1270" w:type="dxa"/>
            <w:tcBorders>
              <w:top w:val="nil"/>
              <w:left w:val="nil"/>
              <w:bottom w:val="nil"/>
              <w:right w:val="nil"/>
            </w:tcBorders>
            <w:shd w:val="clear" w:color="auto" w:fill="FFFFFF"/>
          </w:tcPr>
          <w:p w14:paraId="7C12C5DB" w14:textId="77777777" w:rsidR="000F0CA7" w:rsidRPr="00246774" w:rsidRDefault="000F0CA7" w:rsidP="007E6C2D">
            <w:pPr>
              <w:spacing w:after="0"/>
              <w:rPr>
                <w:color w:val="000000" w:themeColor="text1"/>
              </w:rPr>
            </w:pPr>
            <w:r w:rsidRPr="00246774">
              <w:rPr>
                <w:color w:val="000000" w:themeColor="text1"/>
              </w:rPr>
              <w:t>3</w:t>
            </w:r>
            <w:r w:rsidR="007E6C2D" w:rsidRPr="00246774">
              <w:rPr>
                <w:color w:val="000000" w:themeColor="text1"/>
              </w:rPr>
              <w:t>5</w:t>
            </w:r>
          </w:p>
        </w:tc>
        <w:tc>
          <w:tcPr>
            <w:tcW w:w="2511" w:type="dxa"/>
            <w:tcBorders>
              <w:top w:val="nil"/>
              <w:left w:val="nil"/>
              <w:bottom w:val="nil"/>
              <w:right w:val="nil"/>
            </w:tcBorders>
            <w:shd w:val="clear" w:color="auto" w:fill="FFFFFF"/>
          </w:tcPr>
          <w:p w14:paraId="773D5785" w14:textId="77777777" w:rsidR="000F0CA7" w:rsidRPr="00246774" w:rsidRDefault="000F0CA7" w:rsidP="00A07F7E">
            <w:pPr>
              <w:spacing w:after="0"/>
              <w:rPr>
                <w:color w:val="000000" w:themeColor="text1"/>
              </w:rPr>
            </w:pPr>
            <w:r w:rsidRPr="00246774">
              <w:rPr>
                <w:color w:val="000000" w:themeColor="text1"/>
              </w:rPr>
              <w:t>2</w:t>
            </w:r>
          </w:p>
        </w:tc>
        <w:tc>
          <w:tcPr>
            <w:tcW w:w="1973" w:type="dxa"/>
            <w:tcBorders>
              <w:top w:val="nil"/>
              <w:left w:val="nil"/>
              <w:bottom w:val="nil"/>
              <w:right w:val="nil"/>
            </w:tcBorders>
            <w:shd w:val="clear" w:color="auto" w:fill="FFFFFF"/>
          </w:tcPr>
          <w:p w14:paraId="075377FD" w14:textId="77777777" w:rsidR="000F0CA7" w:rsidRPr="00246774" w:rsidRDefault="007E6C2D" w:rsidP="00A07F7E">
            <w:pPr>
              <w:spacing w:after="0"/>
              <w:rPr>
                <w:color w:val="000000" w:themeColor="text1"/>
              </w:rPr>
            </w:pPr>
            <w:r w:rsidRPr="00246774">
              <w:rPr>
                <w:color w:val="000000" w:themeColor="text1"/>
              </w:rPr>
              <w:t>$17,430</w:t>
            </w:r>
          </w:p>
        </w:tc>
      </w:tr>
      <w:tr w:rsidR="000F0CA7" w:rsidRPr="00246774" w14:paraId="783F24FF" w14:textId="77777777" w:rsidTr="00A07F7E">
        <w:tc>
          <w:tcPr>
            <w:tcW w:w="2882" w:type="dxa"/>
            <w:tcBorders>
              <w:top w:val="nil"/>
              <w:left w:val="nil"/>
              <w:bottom w:val="nil"/>
              <w:right w:val="nil"/>
            </w:tcBorders>
            <w:shd w:val="clear" w:color="auto" w:fill="FFFFFF"/>
          </w:tcPr>
          <w:p w14:paraId="29D3CCC2" w14:textId="77777777" w:rsidR="000F0CA7" w:rsidRPr="00246774" w:rsidRDefault="000F0CA7" w:rsidP="00A07F7E">
            <w:pPr>
              <w:spacing w:after="0"/>
              <w:rPr>
                <w:b/>
                <w:bCs/>
                <w:color w:val="000000"/>
              </w:rPr>
            </w:pPr>
            <w:proofErr w:type="spellStart"/>
            <w:r w:rsidRPr="00246774">
              <w:rPr>
                <w:b/>
                <w:bCs/>
                <w:color w:val="000000"/>
              </w:rPr>
              <w:t>IndIGO</w:t>
            </w:r>
            <w:proofErr w:type="spellEnd"/>
          </w:p>
        </w:tc>
        <w:tc>
          <w:tcPr>
            <w:tcW w:w="1270" w:type="dxa"/>
            <w:tcBorders>
              <w:top w:val="nil"/>
              <w:left w:val="nil"/>
              <w:bottom w:val="nil"/>
              <w:right w:val="nil"/>
            </w:tcBorders>
            <w:shd w:val="clear" w:color="auto" w:fill="FFFFFF"/>
          </w:tcPr>
          <w:p w14:paraId="3D62EDA4" w14:textId="77777777" w:rsidR="000F0CA7" w:rsidRPr="00246774" w:rsidRDefault="007E6C2D" w:rsidP="00A07F7E">
            <w:pPr>
              <w:spacing w:after="0"/>
              <w:rPr>
                <w:color w:val="000000" w:themeColor="text1"/>
              </w:rPr>
            </w:pPr>
            <w:r w:rsidRPr="00246774">
              <w:rPr>
                <w:color w:val="000000" w:themeColor="text1"/>
              </w:rPr>
              <w:t>39</w:t>
            </w:r>
          </w:p>
        </w:tc>
        <w:tc>
          <w:tcPr>
            <w:tcW w:w="2511" w:type="dxa"/>
            <w:tcBorders>
              <w:top w:val="nil"/>
              <w:left w:val="nil"/>
              <w:bottom w:val="nil"/>
              <w:right w:val="nil"/>
            </w:tcBorders>
            <w:shd w:val="clear" w:color="auto" w:fill="FFFFFF"/>
          </w:tcPr>
          <w:p w14:paraId="17438B24" w14:textId="77777777" w:rsidR="000F0CA7" w:rsidRPr="00246774" w:rsidRDefault="000F0CA7" w:rsidP="00A07F7E">
            <w:pPr>
              <w:spacing w:after="0"/>
              <w:rPr>
                <w:color w:val="000000" w:themeColor="text1"/>
              </w:rPr>
            </w:pPr>
            <w:r w:rsidRPr="00246774">
              <w:rPr>
                <w:color w:val="000000" w:themeColor="text1"/>
              </w:rPr>
              <w:t>2</w:t>
            </w:r>
          </w:p>
        </w:tc>
        <w:tc>
          <w:tcPr>
            <w:tcW w:w="1973" w:type="dxa"/>
            <w:tcBorders>
              <w:top w:val="nil"/>
              <w:left w:val="nil"/>
              <w:bottom w:val="nil"/>
              <w:right w:val="nil"/>
            </w:tcBorders>
            <w:shd w:val="clear" w:color="auto" w:fill="FFFFFF"/>
          </w:tcPr>
          <w:p w14:paraId="153DA066" w14:textId="77777777" w:rsidR="000F0CA7" w:rsidRPr="00246774" w:rsidRDefault="007E6C2D" w:rsidP="00A07F7E">
            <w:pPr>
              <w:spacing w:after="0"/>
              <w:rPr>
                <w:color w:val="000000" w:themeColor="text1"/>
              </w:rPr>
            </w:pPr>
            <w:r w:rsidRPr="00246774">
              <w:rPr>
                <w:color w:val="000000" w:themeColor="text1"/>
              </w:rPr>
              <w:t>$19,422</w:t>
            </w:r>
          </w:p>
        </w:tc>
      </w:tr>
      <w:tr w:rsidR="000F0CA7" w:rsidRPr="00246774" w14:paraId="6DA2D748" w14:textId="77777777" w:rsidTr="00A07F7E">
        <w:tc>
          <w:tcPr>
            <w:tcW w:w="2882" w:type="dxa"/>
            <w:tcBorders>
              <w:top w:val="nil"/>
              <w:left w:val="nil"/>
              <w:bottom w:val="nil"/>
              <w:right w:val="nil"/>
            </w:tcBorders>
            <w:shd w:val="clear" w:color="auto" w:fill="FFFFFF"/>
          </w:tcPr>
          <w:p w14:paraId="297B3077" w14:textId="77777777" w:rsidR="000F0CA7" w:rsidRPr="00246774" w:rsidRDefault="000F0CA7" w:rsidP="00A07F7E">
            <w:pPr>
              <w:spacing w:after="0"/>
              <w:rPr>
                <w:b/>
                <w:bCs/>
                <w:color w:val="000000"/>
              </w:rPr>
            </w:pPr>
            <w:r w:rsidRPr="00246774">
              <w:rPr>
                <w:b/>
                <w:bCs/>
                <w:color w:val="000000"/>
              </w:rPr>
              <w:t>GEO</w:t>
            </w:r>
          </w:p>
        </w:tc>
        <w:tc>
          <w:tcPr>
            <w:tcW w:w="1270" w:type="dxa"/>
            <w:tcBorders>
              <w:top w:val="nil"/>
              <w:left w:val="nil"/>
              <w:bottom w:val="nil"/>
              <w:right w:val="nil"/>
            </w:tcBorders>
            <w:shd w:val="clear" w:color="auto" w:fill="FFFFFF"/>
          </w:tcPr>
          <w:p w14:paraId="75FF195F" w14:textId="77777777" w:rsidR="000F0CA7" w:rsidRPr="00246774" w:rsidRDefault="007E6C2D" w:rsidP="00A07F7E">
            <w:pPr>
              <w:spacing w:after="0"/>
              <w:rPr>
                <w:color w:val="000000" w:themeColor="text1"/>
              </w:rPr>
            </w:pPr>
            <w:r w:rsidRPr="00246774">
              <w:rPr>
                <w:color w:val="000000" w:themeColor="text1"/>
              </w:rPr>
              <w:t>178</w:t>
            </w:r>
          </w:p>
        </w:tc>
        <w:tc>
          <w:tcPr>
            <w:tcW w:w="2511" w:type="dxa"/>
            <w:tcBorders>
              <w:top w:val="nil"/>
              <w:left w:val="nil"/>
              <w:bottom w:val="nil"/>
              <w:right w:val="nil"/>
            </w:tcBorders>
            <w:shd w:val="clear" w:color="auto" w:fill="FFFFFF"/>
          </w:tcPr>
          <w:p w14:paraId="567D510A" w14:textId="77777777" w:rsidR="000F0CA7" w:rsidRPr="00246774" w:rsidRDefault="00C41B47" w:rsidP="00A07F7E">
            <w:pPr>
              <w:spacing w:after="0"/>
              <w:rPr>
                <w:color w:val="000000" w:themeColor="text1"/>
              </w:rPr>
            </w:pPr>
            <w:r w:rsidRPr="00246774">
              <w:rPr>
                <w:color w:val="000000" w:themeColor="text1"/>
              </w:rPr>
              <w:t>8</w:t>
            </w:r>
          </w:p>
        </w:tc>
        <w:tc>
          <w:tcPr>
            <w:tcW w:w="1973" w:type="dxa"/>
            <w:tcBorders>
              <w:top w:val="nil"/>
              <w:left w:val="nil"/>
              <w:bottom w:val="nil"/>
              <w:right w:val="nil"/>
            </w:tcBorders>
            <w:shd w:val="clear" w:color="auto" w:fill="FFFFFF"/>
          </w:tcPr>
          <w:p w14:paraId="209ACC78" w14:textId="77777777" w:rsidR="000F0CA7" w:rsidRPr="00246774" w:rsidRDefault="007E6C2D" w:rsidP="00A07F7E">
            <w:pPr>
              <w:spacing w:after="0"/>
              <w:rPr>
                <w:color w:val="000000" w:themeColor="text1"/>
              </w:rPr>
            </w:pPr>
            <w:r w:rsidRPr="00246774">
              <w:rPr>
                <w:color w:val="000000" w:themeColor="text1"/>
              </w:rPr>
              <w:t>$88,644</w:t>
            </w:r>
          </w:p>
        </w:tc>
      </w:tr>
      <w:tr w:rsidR="000F0CA7" w:rsidRPr="00246774" w14:paraId="1ED816B3" w14:textId="77777777" w:rsidTr="00A07F7E">
        <w:tc>
          <w:tcPr>
            <w:tcW w:w="2882" w:type="dxa"/>
            <w:tcBorders>
              <w:top w:val="nil"/>
              <w:left w:val="nil"/>
              <w:bottom w:val="nil"/>
              <w:right w:val="nil"/>
            </w:tcBorders>
            <w:shd w:val="clear" w:color="auto" w:fill="FFFFFF"/>
          </w:tcPr>
          <w:p w14:paraId="1B29CE22" w14:textId="77777777" w:rsidR="000F0CA7" w:rsidRPr="00246774" w:rsidRDefault="000F0CA7" w:rsidP="00A07F7E">
            <w:pPr>
              <w:spacing w:after="0"/>
              <w:rPr>
                <w:b/>
                <w:bCs/>
                <w:color w:val="000000"/>
              </w:rPr>
            </w:pPr>
            <w:r w:rsidRPr="00246774">
              <w:rPr>
                <w:b/>
                <w:bCs/>
                <w:color w:val="000000"/>
              </w:rPr>
              <w:t>Other Non-US</w:t>
            </w:r>
          </w:p>
        </w:tc>
        <w:tc>
          <w:tcPr>
            <w:tcW w:w="1270" w:type="dxa"/>
            <w:tcBorders>
              <w:top w:val="nil"/>
              <w:left w:val="nil"/>
              <w:bottom w:val="nil"/>
              <w:right w:val="nil"/>
            </w:tcBorders>
            <w:shd w:val="clear" w:color="auto" w:fill="FFFFFF"/>
          </w:tcPr>
          <w:p w14:paraId="2DD5B443" w14:textId="77777777" w:rsidR="000F0CA7" w:rsidRPr="00246774" w:rsidRDefault="007E6C2D" w:rsidP="00A07F7E">
            <w:pPr>
              <w:spacing w:after="0"/>
              <w:rPr>
                <w:color w:val="000000" w:themeColor="text1"/>
              </w:rPr>
            </w:pPr>
            <w:r w:rsidRPr="00246774">
              <w:rPr>
                <w:color w:val="000000" w:themeColor="text1"/>
              </w:rPr>
              <w:t>60</w:t>
            </w:r>
          </w:p>
        </w:tc>
        <w:tc>
          <w:tcPr>
            <w:tcW w:w="2511" w:type="dxa"/>
            <w:tcBorders>
              <w:top w:val="nil"/>
              <w:left w:val="nil"/>
              <w:bottom w:val="nil"/>
              <w:right w:val="nil"/>
            </w:tcBorders>
            <w:shd w:val="clear" w:color="auto" w:fill="FFFFFF"/>
          </w:tcPr>
          <w:p w14:paraId="7A7133DF" w14:textId="77777777" w:rsidR="000F0CA7" w:rsidRPr="00246774" w:rsidRDefault="00C41B47" w:rsidP="00A07F7E">
            <w:pPr>
              <w:spacing w:after="0"/>
              <w:rPr>
                <w:color w:val="000000" w:themeColor="text1"/>
              </w:rPr>
            </w:pPr>
            <w:r w:rsidRPr="00246774">
              <w:rPr>
                <w:color w:val="000000" w:themeColor="text1"/>
              </w:rPr>
              <w:t>3</w:t>
            </w:r>
          </w:p>
        </w:tc>
        <w:tc>
          <w:tcPr>
            <w:tcW w:w="1973" w:type="dxa"/>
            <w:tcBorders>
              <w:top w:val="nil"/>
              <w:left w:val="nil"/>
              <w:bottom w:val="nil"/>
              <w:right w:val="nil"/>
            </w:tcBorders>
            <w:shd w:val="clear" w:color="auto" w:fill="FFFFFF"/>
          </w:tcPr>
          <w:p w14:paraId="63DFE16E" w14:textId="77777777" w:rsidR="000F0CA7" w:rsidRPr="00246774" w:rsidRDefault="000F0CA7" w:rsidP="007E6C2D">
            <w:pPr>
              <w:spacing w:after="0"/>
              <w:rPr>
                <w:color w:val="000000" w:themeColor="text1"/>
              </w:rPr>
            </w:pPr>
            <w:r w:rsidRPr="00246774">
              <w:rPr>
                <w:color w:val="000000" w:themeColor="text1"/>
              </w:rPr>
              <w:t>$</w:t>
            </w:r>
            <w:r w:rsidR="007E6C2D" w:rsidRPr="00246774">
              <w:rPr>
                <w:color w:val="000000" w:themeColor="text1"/>
              </w:rPr>
              <w:t>29,880</w:t>
            </w:r>
          </w:p>
        </w:tc>
      </w:tr>
      <w:tr w:rsidR="000F0CA7" w:rsidRPr="00246774" w14:paraId="224F8B6C" w14:textId="77777777" w:rsidTr="00A07F7E">
        <w:tc>
          <w:tcPr>
            <w:tcW w:w="2882" w:type="dxa"/>
            <w:tcBorders>
              <w:top w:val="single" w:sz="8" w:space="0" w:color="000001"/>
              <w:left w:val="nil"/>
              <w:bottom w:val="single" w:sz="8" w:space="0" w:color="000001"/>
              <w:right w:val="nil"/>
            </w:tcBorders>
            <w:shd w:val="clear" w:color="auto" w:fill="FFFFFF"/>
          </w:tcPr>
          <w:p w14:paraId="62EB8D6B" w14:textId="77777777" w:rsidR="000F0CA7" w:rsidRPr="00246774" w:rsidRDefault="000F0CA7" w:rsidP="00A07F7E">
            <w:pPr>
              <w:spacing w:after="0"/>
              <w:rPr>
                <w:b/>
                <w:bCs/>
                <w:color w:val="000000"/>
              </w:rPr>
            </w:pPr>
            <w:r w:rsidRPr="00246774">
              <w:rPr>
                <w:b/>
                <w:bCs/>
                <w:color w:val="000000"/>
              </w:rPr>
              <w:t>Total</w:t>
            </w:r>
          </w:p>
        </w:tc>
        <w:tc>
          <w:tcPr>
            <w:tcW w:w="1270" w:type="dxa"/>
            <w:tcBorders>
              <w:top w:val="single" w:sz="8" w:space="0" w:color="000001"/>
              <w:left w:val="nil"/>
              <w:bottom w:val="single" w:sz="8" w:space="0" w:color="000001"/>
              <w:right w:val="nil"/>
            </w:tcBorders>
            <w:shd w:val="clear" w:color="auto" w:fill="FFFFFF"/>
          </w:tcPr>
          <w:p w14:paraId="019D2B26" w14:textId="77777777" w:rsidR="007E6C2D" w:rsidRPr="00246774" w:rsidRDefault="007E6C2D" w:rsidP="00A07F7E">
            <w:pPr>
              <w:spacing w:after="0"/>
              <w:rPr>
                <w:b/>
                <w:bCs/>
                <w:color w:val="000000" w:themeColor="text1"/>
              </w:rPr>
            </w:pPr>
            <w:r w:rsidRPr="00246774">
              <w:rPr>
                <w:b/>
                <w:bCs/>
                <w:color w:val="000000" w:themeColor="text1"/>
              </w:rPr>
              <w:t>802</w:t>
            </w:r>
          </w:p>
        </w:tc>
        <w:tc>
          <w:tcPr>
            <w:tcW w:w="2511" w:type="dxa"/>
            <w:tcBorders>
              <w:top w:val="single" w:sz="8" w:space="0" w:color="000001"/>
              <w:left w:val="nil"/>
              <w:bottom w:val="single" w:sz="8" w:space="0" w:color="000001"/>
              <w:right w:val="nil"/>
            </w:tcBorders>
            <w:shd w:val="clear" w:color="auto" w:fill="FFFFFF"/>
          </w:tcPr>
          <w:p w14:paraId="058D0C27" w14:textId="77777777" w:rsidR="000F0CA7" w:rsidRPr="00246774" w:rsidRDefault="00C41B47" w:rsidP="00A07F7E">
            <w:pPr>
              <w:spacing w:after="0"/>
              <w:rPr>
                <w:b/>
                <w:bCs/>
                <w:color w:val="000000" w:themeColor="text1"/>
              </w:rPr>
            </w:pPr>
            <w:r w:rsidRPr="00246774">
              <w:rPr>
                <w:b/>
                <w:bCs/>
                <w:color w:val="000000" w:themeColor="text1"/>
              </w:rPr>
              <w:t>36</w:t>
            </w:r>
          </w:p>
        </w:tc>
        <w:tc>
          <w:tcPr>
            <w:tcW w:w="1973" w:type="dxa"/>
            <w:tcBorders>
              <w:top w:val="single" w:sz="8" w:space="0" w:color="000001"/>
              <w:left w:val="nil"/>
              <w:bottom w:val="single" w:sz="8" w:space="0" w:color="000001"/>
              <w:right w:val="nil"/>
            </w:tcBorders>
            <w:shd w:val="clear" w:color="auto" w:fill="FFFFFF"/>
          </w:tcPr>
          <w:p w14:paraId="0F17E241" w14:textId="77777777" w:rsidR="000F0CA7" w:rsidRPr="00246774" w:rsidRDefault="000F0CA7" w:rsidP="007E6C2D">
            <w:pPr>
              <w:spacing w:after="0"/>
              <w:rPr>
                <w:b/>
                <w:bCs/>
                <w:color w:val="000000" w:themeColor="text1"/>
              </w:rPr>
            </w:pPr>
            <w:r w:rsidRPr="00246774">
              <w:rPr>
                <w:b/>
                <w:bCs/>
                <w:color w:val="000000" w:themeColor="text1"/>
              </w:rPr>
              <w:t>$</w:t>
            </w:r>
            <w:r w:rsidR="007E6C2D" w:rsidRPr="00246774">
              <w:rPr>
                <w:b/>
                <w:bCs/>
                <w:color w:val="000000" w:themeColor="text1"/>
              </w:rPr>
              <w:t>399,396</w:t>
            </w:r>
          </w:p>
        </w:tc>
      </w:tr>
    </w:tbl>
    <w:p w14:paraId="60A48475" w14:textId="77777777" w:rsidR="000F0CA7" w:rsidRPr="00246774" w:rsidRDefault="000F0CA7" w:rsidP="000F0CA7"/>
    <w:p w14:paraId="227A60D6" w14:textId="77777777" w:rsidR="004E6FDD" w:rsidRPr="00246774" w:rsidRDefault="004E6FDD"/>
    <w:p w14:paraId="4BE1AD89" w14:textId="77777777" w:rsidR="004E6FDD" w:rsidRPr="00246774" w:rsidRDefault="00DD0064">
      <w:pPr>
        <w:pStyle w:val="Heading1"/>
      </w:pPr>
      <w:r w:rsidRPr="00246774">
        <w:lastRenderedPageBreak/>
        <w:t>Appendix 1</w:t>
      </w:r>
      <w:r w:rsidR="00D02BBE" w:rsidRPr="00246774">
        <w:t xml:space="preserve"> – Implementation details on managing the program costs</w:t>
      </w:r>
    </w:p>
    <w:p w14:paraId="2BCB38A9" w14:textId="77777777" w:rsidR="004E6FDD" w:rsidRPr="00246774" w:rsidRDefault="004E6FDD"/>
    <w:p w14:paraId="2E4987B5" w14:textId="77777777" w:rsidR="004E6FDD" w:rsidRPr="00246774" w:rsidRDefault="00D02BBE" w:rsidP="00246774">
      <w:pPr>
        <w:pStyle w:val="Heading2"/>
      </w:pPr>
      <w:r w:rsidRPr="00246774">
        <w:t>Accrual of funds</w:t>
      </w:r>
    </w:p>
    <w:p w14:paraId="55E7FC33" w14:textId="77777777" w:rsidR="004E6FDD" w:rsidRPr="00246774" w:rsidRDefault="00D02BBE">
      <w:r w:rsidRPr="00246774">
        <w:t>LIGO Laboratory has set up an account into which LSC Principal Investigators (PI) can arrange to have funds deposited to cover their cost allocations. This is a Caltech account that does not incur institutional indirect costs. Payment into the account may be made via bank-to-bank wire transfers or via credit card payment (similar to how meeting registration fees are collected). Invoices are mailed to each PI showing the allocated assessment and indicating that fees will need to be included in the payment.</w:t>
      </w:r>
    </w:p>
    <w:p w14:paraId="3FC31B60" w14:textId="77777777" w:rsidR="004E6FDD" w:rsidRPr="00246774" w:rsidRDefault="004E6FDD"/>
    <w:p w14:paraId="3AFE0C77" w14:textId="77777777" w:rsidR="004E6FDD" w:rsidRPr="00246774" w:rsidRDefault="00D02BBE" w:rsidP="00246774">
      <w:pPr>
        <w:pStyle w:val="Heading2"/>
      </w:pPr>
      <w:r w:rsidRPr="00246774">
        <w:t>Disbursement of funds</w:t>
      </w:r>
    </w:p>
    <w:p w14:paraId="3F30FBDC" w14:textId="77777777" w:rsidR="00DD0064" w:rsidRPr="00246774" w:rsidRDefault="00DD0064" w:rsidP="00DD0064">
      <w:pPr>
        <w:pStyle w:val="Heading3"/>
      </w:pPr>
      <w:r w:rsidRPr="00246774">
        <w:t>Fellows Program</w:t>
      </w:r>
    </w:p>
    <w:p w14:paraId="553AFD77" w14:textId="77777777" w:rsidR="00DD0064" w:rsidRPr="00246774" w:rsidRDefault="00DD0064" w:rsidP="00DD0064"/>
    <w:p w14:paraId="531A9034" w14:textId="77777777" w:rsidR="004E6FDD" w:rsidRPr="00246774" w:rsidRDefault="00D02BBE">
      <w:r w:rsidRPr="00246774">
        <w:t>1.</w:t>
      </w:r>
      <w:r w:rsidRPr="00246774">
        <w:tab/>
      </w:r>
      <w:r w:rsidR="00DD0064" w:rsidRPr="00246774">
        <w:t xml:space="preserve">Fellows </w:t>
      </w:r>
      <w:r w:rsidRPr="00246774">
        <w:t>Accommodations</w:t>
      </w:r>
    </w:p>
    <w:p w14:paraId="3D1AE9CA" w14:textId="77777777" w:rsidR="004E6FDD" w:rsidRPr="00246774" w:rsidRDefault="00D02BBE">
      <w:r w:rsidRPr="00246774">
        <w:t>LIGO/Caltech will undertake to lease appropriate long-term housing near each site. At least two multi-bedroom (two or three) apartments will be leased. LIGO will try to accommodate gender-separate arrangements as required. The lease payments will be made from the accrued funds. LSC Fellows will be provided accommodations; they or their home institution will be responsible for any costs incurred due to damages, etc. Supervisors or mentors as well as the Fellows will be asked to sign a form acknowledging this responsibility.</w:t>
      </w:r>
    </w:p>
    <w:p w14:paraId="4C87CE7D" w14:textId="77777777" w:rsidR="004E6FDD" w:rsidRPr="00246774" w:rsidRDefault="00D02BBE">
      <w:r w:rsidRPr="00246774">
        <w:t>2.</w:t>
      </w:r>
      <w:r w:rsidRPr="00246774">
        <w:tab/>
      </w:r>
      <w:r w:rsidR="00DD0064" w:rsidRPr="00246774">
        <w:t xml:space="preserve">Fellows </w:t>
      </w:r>
      <w:r w:rsidRPr="00246774">
        <w:t>Nominal start-up travel allowance</w:t>
      </w:r>
    </w:p>
    <w:p w14:paraId="11095EAA" w14:textId="77777777" w:rsidR="004E6FDD" w:rsidRPr="00246774" w:rsidRDefault="00D02BBE">
      <w:r w:rsidRPr="00246774">
        <w:t>LIGO/Caltech will issue arriving LSC Fellows $</w:t>
      </w:r>
      <w:r w:rsidR="00944A4A" w:rsidRPr="00246774">
        <w:t>40</w:t>
      </w:r>
      <w:r w:rsidRPr="00246774">
        <w:t>0 each to allow them to settle in before they are expected to provide their own meals, etc. In order to ensure that the money is available upon arrival, at least two weeks prior to arrival, each LSC Fellow will contact Carolyn Peterson with a CC: to the LSC Assistant Spokesperson to arrange for payment of the nominal travel allowance. Upon arrival, each LSC Fellow will be provided with these funds. These payments will be made from the accrued funds.</w:t>
      </w:r>
    </w:p>
    <w:p w14:paraId="2F815DA6" w14:textId="77777777" w:rsidR="0026152F" w:rsidRPr="00246774" w:rsidRDefault="0026152F">
      <w:r w:rsidRPr="00246774">
        <w:t xml:space="preserve">3. </w:t>
      </w:r>
      <w:r w:rsidRPr="00246774">
        <w:tab/>
        <w:t>Visa Allowance</w:t>
      </w:r>
    </w:p>
    <w:p w14:paraId="10F2847F" w14:textId="77777777" w:rsidR="0026152F" w:rsidRPr="00246774" w:rsidRDefault="0026152F">
      <w:r w:rsidRPr="00246774">
        <w:t xml:space="preserve">A $250 Visa allowance can be issued via the Fellows Program.  Those who need support to cover Visa costs should email Carolyn Peterson (Email: </w:t>
      </w:r>
      <w:hyperlink r:id="rId10">
        <w:r w:rsidRPr="00246774">
          <w:rPr>
            <w:rStyle w:val="InternetLink"/>
          </w:rPr>
          <w:t>peterson_c@ligo-wa.caltech.edu</w:t>
        </w:r>
      </w:hyperlink>
      <w:r w:rsidRPr="00246774">
        <w:t>a copy of their receipt and reimbursement will be issued at the end of the fellow’s stay.</w:t>
      </w:r>
    </w:p>
    <w:p w14:paraId="42D1B1C9" w14:textId="77777777" w:rsidR="004E6FDD" w:rsidRPr="00246774" w:rsidRDefault="00D02BBE">
      <w:r w:rsidRPr="00246774">
        <w:t>3.</w:t>
      </w:r>
      <w:r w:rsidRPr="00246774">
        <w:tab/>
      </w:r>
      <w:r w:rsidR="00DD0064" w:rsidRPr="00246774">
        <w:t xml:space="preserve">Fellows </w:t>
      </w:r>
      <w:r w:rsidRPr="00246774">
        <w:t>Transportation to/from observatories and housing accommodations</w:t>
      </w:r>
    </w:p>
    <w:p w14:paraId="019E47F6" w14:textId="77777777" w:rsidR="004E6FDD" w:rsidRPr="00246774" w:rsidRDefault="00D02BBE">
      <w:r w:rsidRPr="00246774">
        <w:lastRenderedPageBreak/>
        <w:t>LIGO will rent cars from a rental car agency which will be made available to the LSC Fellows for transportation purposes. There will be a number of TBD stipulations for access to and use of these vehicles. These will include, e.g., minimum age requirements, certification of drivers’ documentation, restrictions in the purposes for which vehicles are used, etc. LSC Fellows who wish to use the vehicles will be certified by LIGO Laboratory and will be asked to sign declaratory statements indicating they understand and will abide by LIGO’s regulations regarding use of vehicles. The payments will be made from the accrued funds.</w:t>
      </w:r>
    </w:p>
    <w:p w14:paraId="303B56F9" w14:textId="77777777" w:rsidR="004E6FDD" w:rsidRPr="00246774" w:rsidRDefault="00D02BBE">
      <w:r w:rsidRPr="00246774">
        <w:t>Vehicles will have to be shared. Arriving Fellows should contact the local LIGO Laboratory LSC Fellows Liaison to determine the current situation with regard to transportation. Fellows should inform the Liaison whether they are able to drive in the U.S. This will give the site staff enough time to get in touch with the Fellows to obtain the proper paperwork instead of scrambling once they arrive.</w:t>
      </w:r>
    </w:p>
    <w:p w14:paraId="6F84678C" w14:textId="77777777" w:rsidR="004E6FDD" w:rsidRPr="00246774" w:rsidRDefault="00D02BBE">
      <w:r w:rsidRPr="00246774">
        <w:t>4.</w:t>
      </w:r>
      <w:r w:rsidRPr="00246774">
        <w:tab/>
      </w:r>
      <w:r w:rsidR="00DD0064" w:rsidRPr="00246774">
        <w:t xml:space="preserve">Fellows </w:t>
      </w:r>
      <w:r w:rsidRPr="00246774">
        <w:t>Travel to/from sites</w:t>
      </w:r>
    </w:p>
    <w:p w14:paraId="45854A13" w14:textId="77777777" w:rsidR="004E6FDD" w:rsidRPr="00246774" w:rsidRDefault="00D02BBE">
      <w:r w:rsidRPr="00246774">
        <w:t>Travel to/from the LIGO sites at the beginning and end of LSC Fellows’ stays will be covered by the LSC Fellows program as follows.</w:t>
      </w:r>
    </w:p>
    <w:p w14:paraId="2577A5D4" w14:textId="77777777" w:rsidR="004E6FDD" w:rsidRPr="00246774" w:rsidRDefault="00D02BBE">
      <w:r w:rsidRPr="00246774">
        <w:t xml:space="preserve">Fellows </w:t>
      </w:r>
      <w:r w:rsidR="00944A4A" w:rsidRPr="00246774">
        <w:t>should</w:t>
      </w:r>
      <w:r w:rsidR="0026152F" w:rsidRPr="00246774">
        <w:t xml:space="preserve"> </w:t>
      </w:r>
      <w:r w:rsidRPr="00246774">
        <w:t xml:space="preserve">contact Carolyn Peterson (Email: </w:t>
      </w:r>
      <w:hyperlink r:id="rId11">
        <w:r w:rsidRPr="00246774">
          <w:rPr>
            <w:rStyle w:val="InternetLink"/>
          </w:rPr>
          <w:t>peterson_c@ligo-wa.caltech.edu</w:t>
        </w:r>
      </w:hyperlink>
      <w:r w:rsidRPr="00246774">
        <w:t>, Tel: +1.509.372.8167) to have her arrange their flights so that paperwork can be reduced and Fellows do not have to pay out of pocket then await reimbursement.</w:t>
      </w:r>
    </w:p>
    <w:p w14:paraId="7A217135" w14:textId="77777777" w:rsidR="004E6FDD" w:rsidRPr="00246774" w:rsidRDefault="00D02BBE">
      <w:r w:rsidRPr="00246774">
        <w:t>In the event they elect to handle travel on their own, they will be reimbursed as follows.</w:t>
      </w:r>
    </w:p>
    <w:p w14:paraId="7000EB1F" w14:textId="63402219" w:rsidR="004E6FDD" w:rsidRPr="00246774" w:rsidRDefault="00D02BBE">
      <w:pPr>
        <w:pStyle w:val="ListParagraph"/>
        <w:numPr>
          <w:ilvl w:val="0"/>
          <w:numId w:val="2"/>
        </w:numPr>
      </w:pPr>
      <w:r w:rsidRPr="00246774">
        <w:t xml:space="preserve">Domestic </w:t>
      </w:r>
      <w:bookmarkStart w:id="0" w:name="_GoBack"/>
      <w:bookmarkEnd w:id="0"/>
      <w:r w:rsidR="00292949" w:rsidRPr="00246774">
        <w:t>round-trip</w:t>
      </w:r>
      <w:r w:rsidRPr="00246774">
        <w:t xml:space="preserve"> flights (arrival and departure from the site) will be reimbursed by LIGO Laboratory from the LSC Fellows funds account upon presentation of a receipt by an LSC Fellow. The reimbursement will be for the actual cost of the ticket, up to but not exceeding US$500.</w:t>
      </w:r>
    </w:p>
    <w:p w14:paraId="6E49019D" w14:textId="72ED20C2" w:rsidR="004E6FDD" w:rsidRPr="00246774" w:rsidRDefault="00D02BBE">
      <w:pPr>
        <w:pStyle w:val="ListParagraph"/>
        <w:numPr>
          <w:ilvl w:val="0"/>
          <w:numId w:val="2"/>
        </w:numPr>
      </w:pPr>
      <w:r w:rsidRPr="00246774">
        <w:t>International round trip flights (arrival and departure from the site) will be reimbursed by LIGO Laborat</w:t>
      </w:r>
      <w:r w:rsidR="00944A4A" w:rsidRPr="00246774">
        <w:t xml:space="preserve">ory from the </w:t>
      </w:r>
      <w:r w:rsidRPr="00246774">
        <w:t>LSC Fellows funds account upon presentation of a receipt by an LSC Fellow. The reimbursement will be for the actual cost of the ticket, up to but not exceeding US$1900.</w:t>
      </w:r>
      <w:r w:rsidR="00944A4A" w:rsidRPr="00246774">
        <w:t xml:space="preserve">  The ticket must meet Federal Travel Regulations in order to be eligible for </w:t>
      </w:r>
      <w:r w:rsidR="00292949" w:rsidRPr="00246774">
        <w:t>reimbursement</w:t>
      </w:r>
      <w:r w:rsidR="00944A4A" w:rsidRPr="00246774">
        <w:t>.</w:t>
      </w:r>
    </w:p>
    <w:p w14:paraId="01CFDFE5" w14:textId="77777777" w:rsidR="004E6FDD" w:rsidRPr="00246774" w:rsidRDefault="00D02BBE">
      <w:r w:rsidRPr="00246774">
        <w:t>The reimbursement amounts were determined by taking into consideration the mix of US and international air travel required to come to the LIGO sites from LSC home institutions. The travel costs in the LSC Fellows budget represent aggregated, averaged costs. The not-to-exceed amounts reflect these cost estimates.</w:t>
      </w:r>
    </w:p>
    <w:p w14:paraId="1ECD1169" w14:textId="77777777" w:rsidR="00DD0064" w:rsidRPr="00246774" w:rsidRDefault="00DD0064" w:rsidP="00DD0064">
      <w:pPr>
        <w:rPr>
          <w:rFonts w:asciiTheme="majorHAnsi" w:eastAsiaTheme="majorEastAsia" w:hAnsiTheme="majorHAnsi" w:cstheme="majorBidi"/>
          <w:color w:val="243F60" w:themeColor="accent1" w:themeShade="7F"/>
        </w:rPr>
      </w:pPr>
    </w:p>
    <w:p w14:paraId="3C21ABFC" w14:textId="77777777" w:rsidR="00DD0064" w:rsidRPr="00246774" w:rsidRDefault="00DD0064" w:rsidP="00DD0064">
      <w:pPr>
        <w:pStyle w:val="Heading3"/>
      </w:pPr>
      <w:r w:rsidRPr="00246774">
        <w:t>Publication Costs</w:t>
      </w:r>
    </w:p>
    <w:p w14:paraId="72CFADEC" w14:textId="77777777" w:rsidR="00DD0064" w:rsidRPr="00246774" w:rsidRDefault="00DD0064" w:rsidP="00DD0064"/>
    <w:p w14:paraId="24502C99" w14:textId="24264262" w:rsidR="00581F20" w:rsidRPr="00246774" w:rsidRDefault="00DD0064" w:rsidP="00DD0064">
      <w:r w:rsidRPr="00246774">
        <w:lastRenderedPageBreak/>
        <w:t>The Allocation of funds to defray the costs of publication of full Collaboration papers will be determined by the Spokesperson/Deputy</w:t>
      </w:r>
      <w:r w:rsidR="00581F20" w:rsidRPr="00246774">
        <w:t xml:space="preserve"> (SP/DP); lead editors for such papers will contact the SP/DP with the required information</w:t>
      </w:r>
      <w:r w:rsidRPr="00246774">
        <w:t xml:space="preserve">. For publications involving other collaborations (e.g., Virgo) the costs will be split, averaged over the year, according to the author counts. </w:t>
      </w:r>
      <w:r w:rsidR="00581F20" w:rsidRPr="00246774">
        <w:t xml:space="preserve">Any unspent funds will be carried forward to the following year, and a detailed accounting of the use of funds will be made at the fall LSC meeting. If costs exceed </w:t>
      </w:r>
      <w:r w:rsidR="00D379AA">
        <w:t>the amount voted</w:t>
      </w:r>
      <w:r w:rsidR="00581F20" w:rsidRPr="00246774">
        <w:t xml:space="preserve"> in a year, voluntary contributions from LSC groups will be requested, and the funds adjusted for the following year.</w:t>
      </w:r>
    </w:p>
    <w:p w14:paraId="32CBB8C8" w14:textId="77777777" w:rsidR="00581F20" w:rsidRPr="00246774" w:rsidRDefault="00581F20" w:rsidP="00DD0064"/>
    <w:p w14:paraId="4C7CAA45" w14:textId="77777777" w:rsidR="00581F20" w:rsidRPr="00246774" w:rsidRDefault="00581F20" w:rsidP="00581F20">
      <w:pPr>
        <w:pStyle w:val="Heading3"/>
      </w:pPr>
      <w:r w:rsidRPr="00246774">
        <w:t>LSC Service Travel</w:t>
      </w:r>
    </w:p>
    <w:p w14:paraId="659CFC32" w14:textId="77777777" w:rsidR="00581F20" w:rsidRPr="00246774" w:rsidRDefault="00581F20" w:rsidP="00581F20"/>
    <w:p w14:paraId="5283EFEA" w14:textId="77777777" w:rsidR="00581F20" w:rsidRDefault="00581F20" w:rsidP="00581F20">
      <w:r w:rsidRPr="00246774">
        <w:t>The Allocation of funds to defray the costs of LSC Service Travel will be determined by the Spokesperson/Deputy</w:t>
      </w:r>
      <w:r w:rsidR="007F41DC" w:rsidRPr="00246774">
        <w:t>. Requests in advance of travel will be made, and decisions for a given event made</w:t>
      </w:r>
      <w:r w:rsidR="000A28E9" w:rsidRPr="00246774">
        <w:t xml:space="preserve"> after all requests for a given activity have been received. The maximum support for travel will be $1,500 for an individual, and support will often be partial</w:t>
      </w:r>
      <w:r w:rsidRPr="00246774">
        <w:t>. Any unspent funds will be carried forward to the following year, and a detailed accounting of the use of funds will be made at the fall LSC meeting.</w:t>
      </w:r>
    </w:p>
    <w:p w14:paraId="2A97D779" w14:textId="77777777" w:rsidR="00581F20" w:rsidRDefault="00581F20" w:rsidP="00581F20"/>
    <w:p w14:paraId="1E321347" w14:textId="77777777" w:rsidR="00581F20" w:rsidRPr="00581F20" w:rsidRDefault="00581F20" w:rsidP="00581F20"/>
    <w:sectPr w:rsidR="00581F20" w:rsidRPr="00581F20">
      <w:headerReference w:type="default" r:id="rId12"/>
      <w:pgSz w:w="12240" w:h="15840"/>
      <w:pgMar w:top="1440" w:right="1800" w:bottom="1440" w:left="1800" w:header="72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6A2A9" w14:textId="77777777" w:rsidR="003C554C" w:rsidRDefault="003C554C">
      <w:pPr>
        <w:spacing w:after="0"/>
      </w:pPr>
      <w:r>
        <w:separator/>
      </w:r>
    </w:p>
  </w:endnote>
  <w:endnote w:type="continuationSeparator" w:id="0">
    <w:p w14:paraId="2BB9881B" w14:textId="77777777" w:rsidR="003C554C" w:rsidRDefault="003C55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Liberation Sans">
    <w:altName w:val="Arial"/>
    <w:panose1 w:val="020B0604020202020204"/>
    <w:charset w:val="01"/>
    <w:family w:val="swiss"/>
    <w:pitch w:val="variable"/>
  </w:font>
  <w:font w:name="FreeSan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A8671" w14:textId="77777777" w:rsidR="003C554C" w:rsidRDefault="003C554C">
      <w:pPr>
        <w:spacing w:after="0"/>
      </w:pPr>
      <w:r>
        <w:separator/>
      </w:r>
    </w:p>
  </w:footnote>
  <w:footnote w:type="continuationSeparator" w:id="0">
    <w:p w14:paraId="0E5AB62E" w14:textId="77777777" w:rsidR="003C554C" w:rsidRDefault="003C55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BB72" w14:textId="0DDFC771" w:rsidR="001E1089" w:rsidRDefault="001E1089">
    <w:pPr>
      <w:pStyle w:val="Header"/>
      <w:jc w:val="right"/>
    </w:pPr>
    <w:r>
      <w:t>L</w:t>
    </w:r>
    <w:r w:rsidR="00F96081">
      <w:t>IGO-M17</w:t>
    </w:r>
    <w:r w:rsidR="000F0CA7">
      <w:t>00183</w:t>
    </w:r>
    <w:r w:rsidR="00D379AA">
      <w:t>-v</w:t>
    </w:r>
    <w:r w:rsidR="0029294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111BA"/>
    <w:multiLevelType w:val="hybridMultilevel"/>
    <w:tmpl w:val="D6E47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57663"/>
    <w:multiLevelType w:val="multilevel"/>
    <w:tmpl w:val="FA6829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28F3156"/>
    <w:multiLevelType w:val="multilevel"/>
    <w:tmpl w:val="EBA00D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C6E4B9B"/>
    <w:multiLevelType w:val="multilevel"/>
    <w:tmpl w:val="686C549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DD"/>
    <w:rsid w:val="00014F43"/>
    <w:rsid w:val="000A28E9"/>
    <w:rsid w:val="000F0CA7"/>
    <w:rsid w:val="001E1089"/>
    <w:rsid w:val="00246774"/>
    <w:rsid w:val="0026152F"/>
    <w:rsid w:val="0026231A"/>
    <w:rsid w:val="00292949"/>
    <w:rsid w:val="003C554C"/>
    <w:rsid w:val="003F6583"/>
    <w:rsid w:val="004367F6"/>
    <w:rsid w:val="004E6FDD"/>
    <w:rsid w:val="00581F20"/>
    <w:rsid w:val="005A1E25"/>
    <w:rsid w:val="00756F87"/>
    <w:rsid w:val="007E6C2D"/>
    <w:rsid w:val="007F41DC"/>
    <w:rsid w:val="009111F8"/>
    <w:rsid w:val="00944A4A"/>
    <w:rsid w:val="009C16CA"/>
    <w:rsid w:val="00A4281F"/>
    <w:rsid w:val="00A73386"/>
    <w:rsid w:val="00A93CA5"/>
    <w:rsid w:val="00AE1B75"/>
    <w:rsid w:val="00B133D5"/>
    <w:rsid w:val="00BA5B0A"/>
    <w:rsid w:val="00BD6EDF"/>
    <w:rsid w:val="00C41B47"/>
    <w:rsid w:val="00CA6D7D"/>
    <w:rsid w:val="00D02BBE"/>
    <w:rsid w:val="00D15623"/>
    <w:rsid w:val="00D379AA"/>
    <w:rsid w:val="00DD0064"/>
    <w:rsid w:val="00E10B41"/>
    <w:rsid w:val="00E905BD"/>
    <w:rsid w:val="00EC7AD2"/>
    <w:rsid w:val="00EE3063"/>
    <w:rsid w:val="00F2200F"/>
    <w:rsid w:val="00F8056E"/>
    <w:rsid w:val="00F96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306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Droid Sans Fallback" w:hAnsi="Cambria"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7519"/>
    <w:pPr>
      <w:suppressAutoHyphens/>
      <w:spacing w:after="200"/>
    </w:pPr>
    <w:rPr>
      <w:color w:val="00000A"/>
      <w:sz w:val="24"/>
      <w:szCs w:val="24"/>
    </w:rPr>
  </w:style>
  <w:style w:type="paragraph" w:styleId="Heading1">
    <w:name w:val="heading 1"/>
    <w:basedOn w:val="Normal"/>
    <w:next w:val="Normal"/>
    <w:link w:val="Heading1Char"/>
    <w:uiPriority w:val="9"/>
    <w:qFormat/>
    <w:rsid w:val="00DD7654"/>
    <w:pPr>
      <w:keepNext/>
      <w:keepLines/>
      <w:spacing w:before="480" w:after="0"/>
      <w:outlineLvl w:val="0"/>
    </w:pPr>
    <w:rPr>
      <w:rFonts w:ascii="Calibri" w:hAnsi="Calibri"/>
      <w:b/>
      <w:bCs/>
      <w:color w:val="345A8A"/>
      <w:sz w:val="32"/>
      <w:szCs w:val="32"/>
    </w:rPr>
  </w:style>
  <w:style w:type="paragraph" w:styleId="Heading2">
    <w:name w:val="heading 2"/>
    <w:basedOn w:val="Normal"/>
    <w:next w:val="Normal"/>
    <w:link w:val="Heading2Char"/>
    <w:uiPriority w:val="9"/>
    <w:unhideWhenUsed/>
    <w:qFormat/>
    <w:rsid w:val="00DD7654"/>
    <w:pPr>
      <w:keepNext/>
      <w:keepLines/>
      <w:spacing w:before="200" w:after="0"/>
      <w:outlineLvl w:val="1"/>
    </w:pPr>
    <w:rPr>
      <w:rFonts w:ascii="Calibri" w:hAnsi="Calibri"/>
      <w:b/>
      <w:bCs/>
      <w:color w:val="4F81BD"/>
      <w:sz w:val="26"/>
      <w:szCs w:val="26"/>
    </w:rPr>
  </w:style>
  <w:style w:type="paragraph" w:styleId="Heading3">
    <w:name w:val="heading 3"/>
    <w:basedOn w:val="Normal"/>
    <w:next w:val="Normal"/>
    <w:link w:val="Heading3Char"/>
    <w:uiPriority w:val="9"/>
    <w:unhideWhenUsed/>
    <w:qFormat/>
    <w:rsid w:val="00DD0064"/>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654"/>
    <w:rPr>
      <w:rFonts w:ascii="Calibri" w:hAnsi="Calibri"/>
      <w:b/>
      <w:bCs/>
      <w:color w:val="345A8A"/>
      <w:sz w:val="32"/>
      <w:szCs w:val="32"/>
    </w:rPr>
  </w:style>
  <w:style w:type="character" w:customStyle="1" w:styleId="InternetLink">
    <w:name w:val="Internet Link"/>
    <w:basedOn w:val="DefaultParagraphFont"/>
    <w:uiPriority w:val="99"/>
    <w:unhideWhenUsed/>
    <w:rsid w:val="00CE40B2"/>
    <w:rPr>
      <w:color w:val="0000FF"/>
      <w:u w:val="single"/>
      <w:lang w:val="uz-Cyrl-UZ" w:eastAsia="uz-Cyrl-UZ" w:bidi="uz-Cyrl-UZ"/>
    </w:rPr>
  </w:style>
  <w:style w:type="character" w:customStyle="1" w:styleId="Heading2Char">
    <w:name w:val="Heading 2 Char"/>
    <w:basedOn w:val="DefaultParagraphFont"/>
    <w:link w:val="Heading2"/>
    <w:uiPriority w:val="9"/>
    <w:rsid w:val="00DD7654"/>
    <w:rPr>
      <w:rFonts w:ascii="Calibri" w:hAnsi="Calibri"/>
      <w:b/>
      <w:bCs/>
      <w:color w:val="4F81BD"/>
      <w:sz w:val="26"/>
      <w:szCs w:val="26"/>
    </w:rPr>
  </w:style>
  <w:style w:type="character" w:styleId="CommentReference">
    <w:name w:val="annotation reference"/>
    <w:basedOn w:val="DefaultParagraphFont"/>
    <w:uiPriority w:val="99"/>
    <w:semiHidden/>
    <w:unhideWhenUsed/>
    <w:rsid w:val="00F374FD"/>
    <w:rPr>
      <w:sz w:val="18"/>
      <w:szCs w:val="18"/>
    </w:rPr>
  </w:style>
  <w:style w:type="character" w:customStyle="1" w:styleId="CommentTextChar">
    <w:name w:val="Comment Text Char"/>
    <w:basedOn w:val="DefaultParagraphFont"/>
    <w:link w:val="CommentText"/>
    <w:uiPriority w:val="99"/>
    <w:semiHidden/>
    <w:rsid w:val="00F374FD"/>
    <w:rPr>
      <w:sz w:val="24"/>
      <w:szCs w:val="24"/>
    </w:rPr>
  </w:style>
  <w:style w:type="character" w:customStyle="1" w:styleId="CommentSubjectChar">
    <w:name w:val="Comment Subject Char"/>
    <w:basedOn w:val="CommentTextChar"/>
    <w:link w:val="CommentSubject"/>
    <w:uiPriority w:val="99"/>
    <w:semiHidden/>
    <w:rsid w:val="00F374FD"/>
    <w:rPr>
      <w:b/>
      <w:bCs/>
      <w:sz w:val="24"/>
      <w:szCs w:val="24"/>
    </w:rPr>
  </w:style>
  <w:style w:type="character" w:customStyle="1" w:styleId="BalloonTextChar">
    <w:name w:val="Balloon Text Char"/>
    <w:basedOn w:val="DefaultParagraphFont"/>
    <w:link w:val="BalloonText"/>
    <w:uiPriority w:val="99"/>
    <w:semiHidden/>
    <w:rsid w:val="00F374FD"/>
    <w:rPr>
      <w:rFonts w:ascii="Lucida Grande" w:hAnsi="Lucida Grande" w:cs="Lucida Grande"/>
      <w:sz w:val="18"/>
      <w:szCs w:val="18"/>
    </w:rPr>
  </w:style>
  <w:style w:type="character" w:customStyle="1" w:styleId="HeaderChar">
    <w:name w:val="Header Char"/>
    <w:basedOn w:val="DefaultParagraphFont"/>
    <w:link w:val="Header"/>
    <w:uiPriority w:val="99"/>
    <w:rsid w:val="003B7A7F"/>
    <w:rPr>
      <w:sz w:val="24"/>
      <w:szCs w:val="24"/>
    </w:rPr>
  </w:style>
  <w:style w:type="character" w:customStyle="1" w:styleId="FooterChar">
    <w:name w:val="Footer Char"/>
    <w:basedOn w:val="DefaultParagraphFont"/>
    <w:link w:val="Footer"/>
    <w:uiPriority w:val="99"/>
    <w:rsid w:val="003B7A7F"/>
    <w:rPr>
      <w:sz w:val="24"/>
      <w:szCs w:val="24"/>
    </w:rPr>
  </w:style>
  <w:style w:type="character" w:customStyle="1" w:styleId="ListLabel1">
    <w:name w:val="ListLabel 1"/>
  </w:style>
  <w:style w:type="character" w:customStyle="1" w:styleId="ListLabel2">
    <w:name w:val="ListLabel 2"/>
    <w:rPr>
      <w:rFonts w:cs="Helvetica"/>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DD7654"/>
    <w:pPr>
      <w:ind w:left="720"/>
      <w:contextualSpacing/>
    </w:pPr>
  </w:style>
  <w:style w:type="paragraph" w:styleId="CommentText">
    <w:name w:val="annotation text"/>
    <w:basedOn w:val="Normal"/>
    <w:link w:val="CommentTextChar"/>
    <w:uiPriority w:val="99"/>
    <w:semiHidden/>
    <w:unhideWhenUsed/>
    <w:rsid w:val="00F374FD"/>
  </w:style>
  <w:style w:type="paragraph" w:styleId="CommentSubject">
    <w:name w:val="annotation subject"/>
    <w:basedOn w:val="CommentText"/>
    <w:link w:val="CommentSubjectChar"/>
    <w:uiPriority w:val="99"/>
    <w:semiHidden/>
    <w:unhideWhenUsed/>
    <w:rsid w:val="00F374FD"/>
    <w:rPr>
      <w:b/>
      <w:bCs/>
      <w:sz w:val="20"/>
      <w:szCs w:val="20"/>
    </w:rPr>
  </w:style>
  <w:style w:type="paragraph" w:styleId="Revision">
    <w:name w:val="Revision"/>
    <w:uiPriority w:val="99"/>
    <w:semiHidden/>
    <w:rsid w:val="00F374FD"/>
    <w:pPr>
      <w:suppressAutoHyphens/>
    </w:pPr>
    <w:rPr>
      <w:color w:val="00000A"/>
      <w:sz w:val="24"/>
      <w:szCs w:val="24"/>
    </w:rPr>
  </w:style>
  <w:style w:type="paragraph" w:styleId="BalloonText">
    <w:name w:val="Balloon Text"/>
    <w:basedOn w:val="Normal"/>
    <w:link w:val="BalloonTextChar"/>
    <w:uiPriority w:val="99"/>
    <w:semiHidden/>
    <w:unhideWhenUsed/>
    <w:rsid w:val="00F374FD"/>
    <w:pPr>
      <w:spacing w:after="0"/>
    </w:pPr>
    <w:rPr>
      <w:rFonts w:ascii="Lucida Grande" w:hAnsi="Lucida Grande" w:cs="Lucida Grande"/>
      <w:sz w:val="18"/>
      <w:szCs w:val="18"/>
    </w:rPr>
  </w:style>
  <w:style w:type="paragraph" w:styleId="Header">
    <w:name w:val="header"/>
    <w:basedOn w:val="Normal"/>
    <w:link w:val="HeaderChar"/>
    <w:uiPriority w:val="99"/>
    <w:unhideWhenUsed/>
    <w:rsid w:val="003B7A7F"/>
    <w:pPr>
      <w:tabs>
        <w:tab w:val="center" w:pos="4320"/>
        <w:tab w:val="right" w:pos="8640"/>
      </w:tabs>
      <w:spacing w:after="0"/>
    </w:pPr>
  </w:style>
  <w:style w:type="paragraph" w:styleId="Footer">
    <w:name w:val="footer"/>
    <w:basedOn w:val="Normal"/>
    <w:link w:val="FooterChar"/>
    <w:uiPriority w:val="99"/>
    <w:unhideWhenUsed/>
    <w:rsid w:val="003B7A7F"/>
    <w:pPr>
      <w:tabs>
        <w:tab w:val="center" w:pos="4320"/>
        <w:tab w:val="right" w:pos="8640"/>
      </w:tabs>
      <w:spacing w:after="0"/>
    </w:pPr>
  </w:style>
  <w:style w:type="table" w:styleId="TableGrid">
    <w:name w:val="Table Grid"/>
    <w:basedOn w:val="TableNormal"/>
    <w:uiPriority w:val="59"/>
    <w:rsid w:val="00806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0616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022FE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022FE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D0064"/>
    <w:rPr>
      <w:color w:val="0000FF" w:themeColor="hyperlink"/>
      <w:u w:val="single"/>
    </w:rPr>
  </w:style>
  <w:style w:type="character" w:customStyle="1" w:styleId="Heading3Char">
    <w:name w:val="Heading 3 Char"/>
    <w:basedOn w:val="DefaultParagraphFont"/>
    <w:link w:val="Heading3"/>
    <w:uiPriority w:val="9"/>
    <w:rsid w:val="00DD0064"/>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rsid w:val="00292949"/>
    <w:rPr>
      <w:color w:val="605E5C"/>
      <w:shd w:val="clear" w:color="auto" w:fill="E1DFDD"/>
    </w:rPr>
  </w:style>
  <w:style w:type="character" w:styleId="FollowedHyperlink">
    <w:name w:val="FollowedHyperlink"/>
    <w:basedOn w:val="DefaultParagraphFont"/>
    <w:uiPriority w:val="99"/>
    <w:semiHidden/>
    <w:unhideWhenUsed/>
    <w:rsid w:val="002929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8892">
      <w:bodyDiv w:val="1"/>
      <w:marLeft w:val="0"/>
      <w:marRight w:val="0"/>
      <w:marTop w:val="0"/>
      <w:marBottom w:val="0"/>
      <w:divBdr>
        <w:top w:val="none" w:sz="0" w:space="0" w:color="auto"/>
        <w:left w:val="none" w:sz="0" w:space="0" w:color="auto"/>
        <w:bottom w:val="none" w:sz="0" w:space="0" w:color="auto"/>
        <w:right w:val="none" w:sz="0" w:space="0" w:color="auto"/>
      </w:divBdr>
    </w:div>
    <w:div w:id="1950552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M14003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son_c@ligo-wa.caltech.edu" TargetMode="External"/><Relationship Id="rId5" Type="http://schemas.openxmlformats.org/officeDocument/2006/relationships/webSettings" Target="webSettings.xml"/><Relationship Id="rId10" Type="http://schemas.openxmlformats.org/officeDocument/2006/relationships/hyperlink" Target="mailto:peterson_c@ligo-wa.caltech.edu" TargetMode="External"/><Relationship Id="rId4" Type="http://schemas.openxmlformats.org/officeDocument/2006/relationships/settings" Target="settings.xml"/><Relationship Id="rId9" Type="http://schemas.openxmlformats.org/officeDocument/2006/relationships/hyperlink" Target="https://dcc.ligo.org/LIGO-M1700032/publ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451A-B792-8443-8549-178699CD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Gonzalez</dc:creator>
  <cp:lastModifiedBy>Hansen, Hannah M.</cp:lastModifiedBy>
  <cp:revision>2</cp:revision>
  <cp:lastPrinted>2015-02-19T01:00:00Z</cp:lastPrinted>
  <dcterms:created xsi:type="dcterms:W3CDTF">2019-03-12T20:28:00Z</dcterms:created>
  <dcterms:modified xsi:type="dcterms:W3CDTF">2019-03-12T20:28:00Z</dcterms:modified>
  <dc:language>en-US</dc:language>
</cp:coreProperties>
</file>