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FF650" w14:textId="6A8ADBFB" w:rsidR="0087517C" w:rsidRPr="00192335" w:rsidRDefault="00573CE8" w:rsidP="00D32BD4">
      <w:pPr>
        <w:tabs>
          <w:tab w:val="left" w:pos="3652"/>
        </w:tabs>
        <w:rPr>
          <w:rFonts w:ascii="Arial" w:hAnsi="Arial" w:cs="Arial"/>
        </w:rPr>
      </w:pPr>
      <w:r w:rsidRPr="00192335">
        <w:rPr>
          <w:rFonts w:ascii="Arial" w:hAnsi="Arial" w:cs="Arial"/>
          <w:noProof/>
        </w:rPr>
        <mc:AlternateContent>
          <mc:Choice Requires="wps">
            <w:drawing>
              <wp:anchor distT="0" distB="0" distL="114300" distR="114300" simplePos="0" relativeHeight="251658240" behindDoc="0" locked="0" layoutInCell="1" allowOverlap="1" wp14:anchorId="408B7D6A" wp14:editId="2FE830DE">
                <wp:simplePos x="0" y="0"/>
                <wp:positionH relativeFrom="column">
                  <wp:posOffset>622935</wp:posOffset>
                </wp:positionH>
                <wp:positionV relativeFrom="paragraph">
                  <wp:posOffset>-680720</wp:posOffset>
                </wp:positionV>
                <wp:extent cx="4801235" cy="1028700"/>
                <wp:effectExtent l="0" t="0" r="0"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1235" cy="10287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817668C" w14:textId="71C930DA" w:rsidR="002479CC" w:rsidRPr="00D32BD4" w:rsidRDefault="002479CC" w:rsidP="008561A9">
                            <w:pPr>
                              <w:rPr>
                                <w:b/>
                              </w:rPr>
                            </w:pPr>
                            <w:r>
                              <w:rPr>
                                <w:b/>
                              </w:rPr>
                              <w:t>LIGO Laboratory</w:t>
                            </w:r>
                          </w:p>
                          <w:p w14:paraId="288DDF26" w14:textId="6E5830DA" w:rsidR="002479CC" w:rsidRDefault="002479CC" w:rsidP="008561A9">
                            <w:r>
                              <w:t>Caltech MS 100-36 Pasadena CA 91125</w:t>
                            </w:r>
                          </w:p>
                          <w:p w14:paraId="65B66D73" w14:textId="398AC50C" w:rsidR="002479CC" w:rsidRDefault="002479CC" w:rsidP="008561A9">
                            <w:r>
                              <w:t>MIT NW 22-295 185 Albany St Cambridge MA 02139</w:t>
                            </w:r>
                          </w:p>
                          <w:p w14:paraId="7ED22927" w14:textId="77777777" w:rsidR="002479CC" w:rsidRDefault="002479CC" w:rsidP="008561A9">
                            <w:r>
                              <w:t>Hanford Observatory PO Box 159 Richland WA 99352</w:t>
                            </w:r>
                          </w:p>
                          <w:p w14:paraId="54D3C536" w14:textId="5F81C2D7" w:rsidR="002479CC" w:rsidRDefault="002479CC" w:rsidP="008561A9">
                            <w:r>
                              <w:t>Livingston Observatory PO Box 940 Livingston LA 70754</w:t>
                            </w:r>
                          </w:p>
                          <w:p w14:paraId="5B419B8E" w14:textId="3BEB3B56" w:rsidR="002479CC" w:rsidRDefault="002479CC" w:rsidP="008561A9"/>
                          <w:p w14:paraId="4BBC1FDC" w14:textId="1BB63268" w:rsidR="002479CC" w:rsidRDefault="002479CC" w:rsidP="008561A9">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49.05pt;margin-top:-53.55pt;width:378.0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" stroked="f" strokeweight="0">
                <v:textbox>
                  <w:txbxContent>
                    <w:p w14:paraId="7817668C" w14:textId="71C930DA" w:rsidR="00C60735" w:rsidRPr="00D32BD4" w:rsidRDefault="00C60735" w:rsidP="008561A9">
                      <w:pPr>
                        <w:rPr>
                          <w:b/>
                        </w:rPr>
                      </w:pPr>
                      <w:r>
                        <w:rPr>
                          <w:b/>
                        </w:rPr>
                        <w:t>LIGO Laboratory</w:t>
                      </w:r>
                    </w:p>
                    <w:p w14:paraId="288DDF26" w14:textId="6E5830DA" w:rsidR="00C60735" w:rsidRDefault="00C60735" w:rsidP="008561A9">
                      <w:r>
                        <w:t>Caltech MS 100-36 Pasadena CA 91125</w:t>
                      </w:r>
                    </w:p>
                    <w:p w14:paraId="65B66D73" w14:textId="398AC50C" w:rsidR="00C60735" w:rsidRDefault="00C60735" w:rsidP="008561A9">
                      <w:r>
                        <w:t>MIT NW 22-295 185 Albany St Cambridge MA 02139</w:t>
                      </w:r>
                    </w:p>
                    <w:p w14:paraId="7ED22927" w14:textId="77777777" w:rsidR="00C60735" w:rsidRDefault="00C60735" w:rsidP="008561A9">
                      <w:r>
                        <w:t>Hanford Observatory PO Box 159 Richland WA 99352</w:t>
                      </w:r>
                    </w:p>
                    <w:p w14:paraId="54D3C536" w14:textId="5F81C2D7" w:rsidR="00C60735" w:rsidRDefault="00C60735" w:rsidP="008561A9">
                      <w:r>
                        <w:t>Livingston Observatory PO Box 940 Livingston LA 70754</w:t>
                      </w:r>
                    </w:p>
                    <w:p w14:paraId="5B419B8E" w14:textId="3BEB3B56" w:rsidR="00C60735" w:rsidRDefault="00C60735" w:rsidP="008561A9"/>
                    <w:p w14:paraId="4BBC1FDC" w14:textId="1BB63268" w:rsidR="00C60735" w:rsidRDefault="00C60735" w:rsidP="008561A9">
                      <w:pPr>
                        <w:rPr>
                          <w:sz w:val="16"/>
                        </w:rPr>
                      </w:pPr>
                    </w:p>
                  </w:txbxContent>
                </v:textbox>
              </v:shape>
            </w:pict>
          </mc:Fallback>
        </mc:AlternateContent>
      </w:r>
      <w:r w:rsidR="006C5634" w:rsidRPr="00192335">
        <w:rPr>
          <w:rFonts w:ascii="Arial" w:hAnsi="Arial" w:cs="Arial"/>
          <w:noProof/>
        </w:rPr>
        <w:drawing>
          <wp:anchor distT="0" distB="0" distL="114300" distR="114300" simplePos="0" relativeHeight="251657216" behindDoc="0" locked="0" layoutInCell="0" allowOverlap="1" wp14:anchorId="2382E18B" wp14:editId="79A780C6">
            <wp:simplePos x="0" y="0"/>
            <wp:positionH relativeFrom="margin">
              <wp:posOffset>-914400</wp:posOffset>
            </wp:positionH>
            <wp:positionV relativeFrom="margin">
              <wp:posOffset>-914400</wp:posOffset>
            </wp:positionV>
            <wp:extent cx="1417320" cy="1035050"/>
            <wp:effectExtent l="0" t="0" r="5080" b="635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320" cy="1035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32BD4" w:rsidRPr="00192335">
        <w:rPr>
          <w:rFonts w:ascii="Arial" w:hAnsi="Arial" w:cs="Arial"/>
        </w:rPr>
        <w:tab/>
      </w:r>
    </w:p>
    <w:p w14:paraId="7065DC25" w14:textId="77777777" w:rsidR="00765C26" w:rsidRPr="00192335" w:rsidRDefault="00765C26" w:rsidP="0063053D">
      <w:pPr>
        <w:pStyle w:val="Header"/>
        <w:rPr>
          <w:rFonts w:ascii="Arial" w:hAnsi="Arial" w:cs="Arial"/>
          <w:b/>
          <w:u w:val="single"/>
        </w:rPr>
      </w:pPr>
    </w:p>
    <w:p w14:paraId="1B39161C" w14:textId="77777777" w:rsidR="0087517C" w:rsidRPr="00192335" w:rsidRDefault="0087517C" w:rsidP="0063053D">
      <w:pPr>
        <w:pStyle w:val="Header"/>
        <w:rPr>
          <w:rFonts w:ascii="Arial" w:hAnsi="Arial" w:cs="Arial"/>
          <w:b/>
          <w:u w:val="single"/>
        </w:rPr>
      </w:pPr>
      <w:r w:rsidRPr="00192335">
        <w:rPr>
          <w:rFonts w:ascii="Arial" w:hAnsi="Arial" w:cs="Arial"/>
          <w:b/>
          <w:u w:val="single"/>
        </w:rPr>
        <w:t>MEMORANDUM</w:t>
      </w:r>
    </w:p>
    <w:p w14:paraId="7811E8BD" w14:textId="77777777" w:rsidR="0087517C" w:rsidRPr="00192335" w:rsidRDefault="0087517C" w:rsidP="0063053D">
      <w:pPr>
        <w:rPr>
          <w:rFonts w:ascii="Arial" w:hAnsi="Arial" w:cs="Arial"/>
        </w:rPr>
      </w:pPr>
    </w:p>
    <w:p w14:paraId="4BB003CD" w14:textId="0AF756C9" w:rsidR="0087517C" w:rsidRPr="00192335" w:rsidRDefault="00DE4B73" w:rsidP="0063053D">
      <w:pPr>
        <w:rPr>
          <w:rFonts w:ascii="Arial" w:hAnsi="Arial" w:cs="Arial"/>
        </w:rPr>
      </w:pPr>
      <w:r w:rsidRPr="00192335">
        <w:rPr>
          <w:rFonts w:ascii="Arial" w:hAnsi="Arial" w:cs="Arial"/>
        </w:rPr>
        <w:t>DATE:</w:t>
      </w:r>
      <w:r w:rsidRPr="00192335">
        <w:rPr>
          <w:rFonts w:ascii="Arial" w:hAnsi="Arial" w:cs="Arial"/>
        </w:rPr>
        <w:tab/>
      </w:r>
      <w:r w:rsidR="000B6C4B">
        <w:rPr>
          <w:rFonts w:ascii="Arial" w:hAnsi="Arial" w:cs="Arial"/>
        </w:rPr>
        <w:t xml:space="preserve">          </w:t>
      </w:r>
      <w:r w:rsidR="00DC34E7">
        <w:rPr>
          <w:rFonts w:ascii="Arial" w:hAnsi="Arial" w:cs="Arial"/>
        </w:rPr>
        <w:t>March</w:t>
      </w:r>
      <w:r w:rsidR="00197E86">
        <w:rPr>
          <w:rFonts w:ascii="Arial" w:hAnsi="Arial" w:cs="Arial"/>
        </w:rPr>
        <w:t xml:space="preserve"> 10</w:t>
      </w:r>
      <w:bookmarkStart w:id="0" w:name="_GoBack"/>
      <w:bookmarkEnd w:id="0"/>
      <w:r w:rsidR="00DC34E7">
        <w:rPr>
          <w:rFonts w:ascii="Arial" w:hAnsi="Arial" w:cs="Arial"/>
        </w:rPr>
        <w:t>, 2017</w:t>
      </w:r>
    </w:p>
    <w:tbl>
      <w:tblPr>
        <w:tblW w:w="0" w:type="auto"/>
        <w:tblLook w:val="0000" w:firstRow="0" w:lastRow="0" w:firstColumn="0" w:lastColumn="0" w:noHBand="0" w:noVBand="0"/>
      </w:tblPr>
      <w:tblGrid>
        <w:gridCol w:w="1377"/>
        <w:gridCol w:w="8199"/>
      </w:tblGrid>
      <w:tr w:rsidR="0087517C" w:rsidRPr="00192335" w14:paraId="3A37DA96" w14:textId="77777777">
        <w:tc>
          <w:tcPr>
            <w:tcW w:w="1377" w:type="dxa"/>
          </w:tcPr>
          <w:p w14:paraId="3A8EBC92" w14:textId="77777777" w:rsidR="0087517C" w:rsidRPr="00192335" w:rsidRDefault="0087517C" w:rsidP="0063053D">
            <w:pPr>
              <w:pStyle w:val="Header"/>
              <w:rPr>
                <w:rFonts w:ascii="Arial" w:hAnsi="Arial" w:cs="Arial"/>
              </w:rPr>
            </w:pPr>
            <w:r w:rsidRPr="00192335">
              <w:rPr>
                <w:rFonts w:ascii="Arial" w:hAnsi="Arial" w:cs="Arial"/>
              </w:rPr>
              <w:t>TO:</w:t>
            </w:r>
          </w:p>
        </w:tc>
        <w:tc>
          <w:tcPr>
            <w:tcW w:w="8199" w:type="dxa"/>
          </w:tcPr>
          <w:p w14:paraId="10E4F280" w14:textId="62A03FC0" w:rsidR="00D24BC6" w:rsidRPr="00192335" w:rsidRDefault="009C7A5F" w:rsidP="00180FE5">
            <w:pPr>
              <w:pStyle w:val="Header"/>
              <w:rPr>
                <w:rFonts w:ascii="Arial" w:hAnsi="Arial" w:cs="Arial"/>
              </w:rPr>
            </w:pPr>
            <w:r>
              <w:rPr>
                <w:rFonts w:ascii="Arial" w:hAnsi="Arial" w:cs="Arial"/>
              </w:rPr>
              <w:t>LIGO Operations Management Team</w:t>
            </w:r>
          </w:p>
        </w:tc>
      </w:tr>
      <w:tr w:rsidR="0087517C" w:rsidRPr="00192335" w14:paraId="6ACE9F05" w14:textId="77777777">
        <w:tc>
          <w:tcPr>
            <w:tcW w:w="1377" w:type="dxa"/>
          </w:tcPr>
          <w:p w14:paraId="0BC98E47" w14:textId="77777777" w:rsidR="0087517C" w:rsidRPr="00192335" w:rsidRDefault="0087517C" w:rsidP="0063053D">
            <w:pPr>
              <w:pStyle w:val="Header"/>
              <w:rPr>
                <w:rFonts w:ascii="Arial" w:hAnsi="Arial" w:cs="Arial"/>
              </w:rPr>
            </w:pPr>
            <w:r w:rsidRPr="00192335">
              <w:rPr>
                <w:rFonts w:ascii="Arial" w:hAnsi="Arial" w:cs="Arial"/>
              </w:rPr>
              <w:t>FROM:</w:t>
            </w:r>
          </w:p>
        </w:tc>
        <w:tc>
          <w:tcPr>
            <w:tcW w:w="8199" w:type="dxa"/>
          </w:tcPr>
          <w:p w14:paraId="4E63EED7" w14:textId="6A573C51" w:rsidR="0087517C" w:rsidRPr="00192335" w:rsidRDefault="009C7A5F" w:rsidP="009C7A5F">
            <w:pPr>
              <w:pStyle w:val="Header"/>
              <w:rPr>
                <w:rFonts w:ascii="Arial" w:hAnsi="Arial" w:cs="Arial"/>
              </w:rPr>
            </w:pPr>
            <w:r>
              <w:rPr>
                <w:rFonts w:ascii="Arial" w:hAnsi="Arial" w:cs="Arial"/>
              </w:rPr>
              <w:t xml:space="preserve">Lisa Barsotti, </w:t>
            </w:r>
            <w:r w:rsidR="00C86F7F">
              <w:rPr>
                <w:rFonts w:ascii="Arial" w:hAnsi="Arial" w:cs="Arial"/>
              </w:rPr>
              <w:t>Brian O’Reilly</w:t>
            </w:r>
            <w:r w:rsidR="00EF465F">
              <w:rPr>
                <w:rFonts w:ascii="Arial" w:hAnsi="Arial" w:cs="Arial"/>
              </w:rPr>
              <w:t xml:space="preserve">, </w:t>
            </w:r>
            <w:r w:rsidR="00143126">
              <w:rPr>
                <w:rFonts w:ascii="Arial" w:hAnsi="Arial" w:cs="Arial"/>
              </w:rPr>
              <w:t xml:space="preserve">Keita </w:t>
            </w:r>
            <w:proofErr w:type="spellStart"/>
            <w:r w:rsidR="00143126">
              <w:rPr>
                <w:rFonts w:ascii="Arial" w:hAnsi="Arial" w:cs="Arial"/>
              </w:rPr>
              <w:t>Kawabe</w:t>
            </w:r>
            <w:proofErr w:type="spellEnd"/>
            <w:r>
              <w:rPr>
                <w:rFonts w:ascii="Arial" w:hAnsi="Arial" w:cs="Arial"/>
              </w:rPr>
              <w:t xml:space="preserve">, Nicolas Leroy, for </w:t>
            </w:r>
            <w:r w:rsidR="00771CEF">
              <w:rPr>
                <w:rFonts w:ascii="Arial" w:hAnsi="Arial" w:cs="Arial"/>
              </w:rPr>
              <w:t xml:space="preserve">the </w:t>
            </w:r>
            <w:r>
              <w:rPr>
                <w:rFonts w:ascii="Arial" w:hAnsi="Arial" w:cs="Arial"/>
              </w:rPr>
              <w:t>J</w:t>
            </w:r>
            <w:r w:rsidR="00771CEF">
              <w:rPr>
                <w:rFonts w:ascii="Arial" w:hAnsi="Arial" w:cs="Arial"/>
              </w:rPr>
              <w:t xml:space="preserve">oint </w:t>
            </w:r>
            <w:r>
              <w:rPr>
                <w:rFonts w:ascii="Arial" w:hAnsi="Arial" w:cs="Arial"/>
              </w:rPr>
              <w:t>R</w:t>
            </w:r>
            <w:r w:rsidR="00771CEF">
              <w:rPr>
                <w:rFonts w:ascii="Arial" w:hAnsi="Arial" w:cs="Arial"/>
              </w:rPr>
              <w:t xml:space="preserve">un </w:t>
            </w:r>
            <w:r>
              <w:rPr>
                <w:rFonts w:ascii="Arial" w:hAnsi="Arial" w:cs="Arial"/>
              </w:rPr>
              <w:t>P</w:t>
            </w:r>
            <w:r w:rsidR="00771CEF">
              <w:rPr>
                <w:rFonts w:ascii="Arial" w:hAnsi="Arial" w:cs="Arial"/>
              </w:rPr>
              <w:t xml:space="preserve">lanning </w:t>
            </w:r>
            <w:r>
              <w:rPr>
                <w:rFonts w:ascii="Arial" w:hAnsi="Arial" w:cs="Arial"/>
              </w:rPr>
              <w:t>C</w:t>
            </w:r>
            <w:r w:rsidR="00771CEF">
              <w:rPr>
                <w:rFonts w:ascii="Arial" w:hAnsi="Arial" w:cs="Arial"/>
              </w:rPr>
              <w:t xml:space="preserve">ommittee </w:t>
            </w:r>
          </w:p>
        </w:tc>
      </w:tr>
      <w:tr w:rsidR="0087517C" w:rsidRPr="00192335" w14:paraId="22B73186" w14:textId="77777777">
        <w:tc>
          <w:tcPr>
            <w:tcW w:w="1377" w:type="dxa"/>
          </w:tcPr>
          <w:p w14:paraId="13B778C2" w14:textId="77777777" w:rsidR="0087517C" w:rsidRPr="00192335" w:rsidRDefault="0087517C" w:rsidP="0063053D">
            <w:pPr>
              <w:pStyle w:val="Header"/>
              <w:rPr>
                <w:rFonts w:ascii="Arial" w:hAnsi="Arial" w:cs="Arial"/>
              </w:rPr>
            </w:pPr>
            <w:r w:rsidRPr="00192335">
              <w:rPr>
                <w:rFonts w:ascii="Arial" w:hAnsi="Arial" w:cs="Arial"/>
              </w:rPr>
              <w:t>SUBJECT:</w:t>
            </w:r>
          </w:p>
        </w:tc>
        <w:tc>
          <w:tcPr>
            <w:tcW w:w="8199" w:type="dxa"/>
          </w:tcPr>
          <w:p w14:paraId="00A05A5C" w14:textId="15BAA04B" w:rsidR="0087517C" w:rsidRPr="00192335" w:rsidRDefault="009C7A5F" w:rsidP="007C33DE">
            <w:pPr>
              <w:pStyle w:val="Header"/>
              <w:rPr>
                <w:rFonts w:ascii="Arial" w:hAnsi="Arial" w:cs="Arial"/>
              </w:rPr>
            </w:pPr>
            <w:r>
              <w:rPr>
                <w:rFonts w:ascii="Arial" w:hAnsi="Arial" w:cs="Arial"/>
              </w:rPr>
              <w:t>Recommendation regarding O2 duration and close-out measurements</w:t>
            </w:r>
          </w:p>
        </w:tc>
      </w:tr>
      <w:tr w:rsidR="0087517C" w:rsidRPr="00192335" w14:paraId="051F094E" w14:textId="77777777">
        <w:tc>
          <w:tcPr>
            <w:tcW w:w="1377" w:type="dxa"/>
          </w:tcPr>
          <w:p w14:paraId="68F39AB3" w14:textId="77777777" w:rsidR="0087517C" w:rsidRPr="00192335" w:rsidRDefault="0087517C" w:rsidP="0063053D">
            <w:pPr>
              <w:pStyle w:val="Header"/>
              <w:rPr>
                <w:rFonts w:ascii="Arial" w:hAnsi="Arial" w:cs="Arial"/>
              </w:rPr>
            </w:pPr>
            <w:r w:rsidRPr="00192335">
              <w:rPr>
                <w:rFonts w:ascii="Arial" w:hAnsi="Arial" w:cs="Arial"/>
              </w:rPr>
              <w:t>Refer to:</w:t>
            </w:r>
          </w:p>
        </w:tc>
        <w:tc>
          <w:tcPr>
            <w:tcW w:w="8199" w:type="dxa"/>
          </w:tcPr>
          <w:p w14:paraId="2CFDCBEE" w14:textId="77777777" w:rsidR="00785254" w:rsidRDefault="00785254" w:rsidP="00785254">
            <w:pPr>
              <w:pStyle w:val="Heading1"/>
            </w:pPr>
            <w:r>
              <w:t>L1700023</w:t>
            </w:r>
          </w:p>
          <w:p w14:paraId="6482B322" w14:textId="2FB1DBC6" w:rsidR="00DE121B" w:rsidRPr="00DE121B" w:rsidRDefault="00DE121B" w:rsidP="00E15929">
            <w:pPr>
              <w:jc w:val="both"/>
              <w:rPr>
                <w:rFonts w:ascii="Arial" w:hAnsi="Arial" w:cs="Arial"/>
                <w:bCs/>
              </w:rPr>
            </w:pPr>
          </w:p>
        </w:tc>
      </w:tr>
    </w:tbl>
    <w:p w14:paraId="78FFDCD3" w14:textId="1D430823" w:rsidR="00CB4161" w:rsidRPr="00192335" w:rsidRDefault="00CB4161" w:rsidP="0063053D">
      <w:pPr>
        <w:rPr>
          <w:rFonts w:ascii="Arial" w:hAnsi="Arial" w:cs="Arial"/>
        </w:rPr>
      </w:pPr>
    </w:p>
    <w:p w14:paraId="01DE56B8" w14:textId="628F877D" w:rsidR="009C7A5F" w:rsidRDefault="007C33DE" w:rsidP="00DE121B">
      <w:pPr>
        <w:ind w:firstLine="720"/>
        <w:rPr>
          <w:rFonts w:ascii="Arial" w:hAnsi="Arial" w:cs="Arial"/>
        </w:rPr>
      </w:pPr>
      <w:r>
        <w:rPr>
          <w:rFonts w:ascii="Arial" w:hAnsi="Arial" w:cs="Arial"/>
        </w:rPr>
        <w:t xml:space="preserve">This memo </w:t>
      </w:r>
      <w:r w:rsidR="009C7A5F">
        <w:rPr>
          <w:rFonts w:ascii="Arial" w:hAnsi="Arial" w:cs="Arial"/>
        </w:rPr>
        <w:t xml:space="preserve">summarizes the JRPC recommendations regarding the duration of the on-going Observing Run O2 and its </w:t>
      </w:r>
      <w:proofErr w:type="gramStart"/>
      <w:r w:rsidR="009C7A5F">
        <w:rPr>
          <w:rFonts w:ascii="Arial" w:hAnsi="Arial" w:cs="Arial"/>
        </w:rPr>
        <w:t>close-out</w:t>
      </w:r>
      <w:proofErr w:type="gramEnd"/>
      <w:r w:rsidR="009C7A5F">
        <w:rPr>
          <w:rFonts w:ascii="Arial" w:hAnsi="Arial" w:cs="Arial"/>
        </w:rPr>
        <w:t xml:space="preserve"> measurements.</w:t>
      </w:r>
    </w:p>
    <w:p w14:paraId="3CAC32C1" w14:textId="77777777" w:rsidR="009C7A5F" w:rsidRDefault="009C7A5F" w:rsidP="00DE121B">
      <w:pPr>
        <w:ind w:firstLine="720"/>
        <w:rPr>
          <w:rFonts w:ascii="Arial" w:hAnsi="Arial" w:cs="Arial"/>
        </w:rPr>
      </w:pPr>
    </w:p>
    <w:p w14:paraId="37599FCD" w14:textId="4D5E5D23" w:rsidR="00771CEF" w:rsidRDefault="0016072D" w:rsidP="0016072D">
      <w:pPr>
        <w:ind w:firstLine="720"/>
        <w:rPr>
          <w:rFonts w:ascii="Arial" w:hAnsi="Arial" w:cs="Arial"/>
        </w:rPr>
      </w:pPr>
      <w:r>
        <w:rPr>
          <w:rFonts w:ascii="Arial" w:hAnsi="Arial" w:cs="Arial"/>
        </w:rPr>
        <w:t>The proposal of the instrument team to extend O2 with respect to its nominal duration of 6 calendar months (with an original target ending date of May 31</w:t>
      </w:r>
      <w:r w:rsidRPr="009C7A5F">
        <w:rPr>
          <w:rFonts w:ascii="Arial" w:hAnsi="Arial" w:cs="Arial"/>
          <w:vertAlign w:val="superscript"/>
        </w:rPr>
        <w:t>st</w:t>
      </w:r>
      <w:r>
        <w:rPr>
          <w:rFonts w:ascii="Arial" w:hAnsi="Arial" w:cs="Arial"/>
        </w:rPr>
        <w:t xml:space="preserve">, 2017) has been broadly discussed. </w:t>
      </w:r>
      <w:r w:rsidR="002479CC">
        <w:rPr>
          <w:rFonts w:ascii="Arial" w:hAnsi="Arial" w:cs="Arial"/>
        </w:rPr>
        <w:t>An extension of 2-3 months has been considered, thus pushing the end of O2 to July 31</w:t>
      </w:r>
      <w:r w:rsidR="002479CC" w:rsidRPr="00B92413">
        <w:rPr>
          <w:rFonts w:ascii="Arial" w:hAnsi="Arial" w:cs="Arial"/>
          <w:vertAlign w:val="superscript"/>
        </w:rPr>
        <w:t>st</w:t>
      </w:r>
      <w:r w:rsidR="002479CC">
        <w:rPr>
          <w:rFonts w:ascii="Arial" w:hAnsi="Arial" w:cs="Arial"/>
        </w:rPr>
        <w:t xml:space="preserve"> – August 31</w:t>
      </w:r>
      <w:r w:rsidR="002479CC" w:rsidRPr="00B92413">
        <w:rPr>
          <w:rFonts w:ascii="Arial" w:hAnsi="Arial" w:cs="Arial"/>
          <w:vertAlign w:val="superscript"/>
        </w:rPr>
        <w:t>st</w:t>
      </w:r>
      <w:r w:rsidR="002479CC">
        <w:rPr>
          <w:rFonts w:ascii="Arial" w:hAnsi="Arial" w:cs="Arial"/>
        </w:rPr>
        <w:t xml:space="preserve">. </w:t>
      </w:r>
    </w:p>
    <w:p w14:paraId="06E15EE9" w14:textId="77777777" w:rsidR="00F47C07" w:rsidRDefault="00F47C07" w:rsidP="00DE121B">
      <w:pPr>
        <w:ind w:firstLine="720"/>
        <w:rPr>
          <w:rFonts w:ascii="Arial" w:hAnsi="Arial" w:cs="Arial"/>
        </w:rPr>
      </w:pPr>
    </w:p>
    <w:p w14:paraId="6FEE1DEA" w14:textId="700FD335" w:rsidR="00771CEF" w:rsidRDefault="00F47C07" w:rsidP="002479CC">
      <w:pPr>
        <w:ind w:firstLine="720"/>
        <w:rPr>
          <w:rFonts w:ascii="Arial" w:hAnsi="Arial" w:cs="Arial"/>
        </w:rPr>
      </w:pPr>
      <w:r>
        <w:rPr>
          <w:rFonts w:ascii="Arial" w:hAnsi="Arial" w:cs="Arial"/>
        </w:rPr>
        <w:t xml:space="preserve">The reasons for the proposed extension </w:t>
      </w:r>
      <w:r w:rsidR="002479CC">
        <w:rPr>
          <w:rFonts w:ascii="Arial" w:hAnsi="Arial" w:cs="Arial"/>
        </w:rPr>
        <w:t xml:space="preserve">have been presented </w:t>
      </w:r>
      <w:r w:rsidR="00B419C2">
        <w:rPr>
          <w:rFonts w:ascii="Arial" w:hAnsi="Arial" w:cs="Arial"/>
        </w:rPr>
        <w:t xml:space="preserve">to all of the groups involved, during JRPC and DAC calls. </w:t>
      </w:r>
      <w:r w:rsidR="002479CC">
        <w:rPr>
          <w:rFonts w:ascii="Arial" w:hAnsi="Arial" w:cs="Arial"/>
        </w:rPr>
        <w:t>They are: maximizing chance</w:t>
      </w:r>
      <w:r>
        <w:rPr>
          <w:rFonts w:ascii="Arial" w:hAnsi="Arial" w:cs="Arial"/>
        </w:rPr>
        <w:t xml:space="preserve"> of detection before a long post-O2 break, taking advantage of higher duty cycle of the instruments in summer time to compensate for the low coincident time last December and January, allowing more time for the new hardware for the many post-O2 instrument improvements to be ready, </w:t>
      </w:r>
      <w:r w:rsidR="002479CC">
        <w:rPr>
          <w:rFonts w:ascii="Arial" w:hAnsi="Arial" w:cs="Arial"/>
        </w:rPr>
        <w:t>increased chance</w:t>
      </w:r>
      <w:r>
        <w:rPr>
          <w:rFonts w:ascii="Arial" w:hAnsi="Arial" w:cs="Arial"/>
        </w:rPr>
        <w:t xml:space="preserve"> for Virgo to j</w:t>
      </w:r>
      <w:r w:rsidR="002479CC">
        <w:rPr>
          <w:rFonts w:ascii="Arial" w:hAnsi="Arial" w:cs="Arial"/>
        </w:rPr>
        <w:t>oin O2</w:t>
      </w:r>
      <w:r>
        <w:rPr>
          <w:rFonts w:ascii="Arial" w:hAnsi="Arial" w:cs="Arial"/>
        </w:rPr>
        <w:t xml:space="preserve">. </w:t>
      </w:r>
    </w:p>
    <w:p w14:paraId="0F02CFD0" w14:textId="77777777" w:rsidR="00F47C07" w:rsidRDefault="00F47C07" w:rsidP="00DE121B">
      <w:pPr>
        <w:ind w:firstLine="720"/>
        <w:rPr>
          <w:rFonts w:ascii="Arial" w:hAnsi="Arial" w:cs="Arial"/>
        </w:rPr>
      </w:pPr>
    </w:p>
    <w:p w14:paraId="784331A4" w14:textId="0C5724AF" w:rsidR="005C536C" w:rsidRDefault="00771CEF" w:rsidP="00F47C07">
      <w:pPr>
        <w:ind w:firstLine="720"/>
        <w:rPr>
          <w:rFonts w:ascii="Arial" w:hAnsi="Arial" w:cs="Arial"/>
        </w:rPr>
      </w:pPr>
      <w:r>
        <w:rPr>
          <w:rFonts w:ascii="Arial" w:hAnsi="Arial" w:cs="Arial"/>
        </w:rPr>
        <w:t>Inputs from the groups have been generally positive, welcoming the possibility of collecting more data than previously anticipated.  No signific</w:t>
      </w:r>
      <w:r w:rsidR="005C536C">
        <w:rPr>
          <w:rFonts w:ascii="Arial" w:hAnsi="Arial" w:cs="Arial"/>
        </w:rPr>
        <w:t>ant objections have been raised to a 2-3 months extension.</w:t>
      </w:r>
      <w:r>
        <w:rPr>
          <w:rFonts w:ascii="Arial" w:hAnsi="Arial" w:cs="Arial"/>
        </w:rPr>
        <w:t xml:space="preserve"> </w:t>
      </w:r>
    </w:p>
    <w:p w14:paraId="40916ABD" w14:textId="2DCC01D1" w:rsidR="009C7A5F" w:rsidRDefault="00771CEF" w:rsidP="00F47C07">
      <w:pPr>
        <w:ind w:firstLine="720"/>
        <w:rPr>
          <w:rFonts w:ascii="Arial" w:hAnsi="Arial" w:cs="Arial"/>
        </w:rPr>
      </w:pPr>
      <w:r>
        <w:rPr>
          <w:rFonts w:ascii="Arial" w:hAnsi="Arial" w:cs="Arial"/>
        </w:rPr>
        <w:t xml:space="preserve">Two </w:t>
      </w:r>
      <w:r w:rsidR="00F47C07">
        <w:rPr>
          <w:rFonts w:ascii="Arial" w:hAnsi="Arial" w:cs="Arial"/>
        </w:rPr>
        <w:t xml:space="preserve">particular </w:t>
      </w:r>
      <w:r>
        <w:rPr>
          <w:rFonts w:ascii="Arial" w:hAnsi="Arial" w:cs="Arial"/>
        </w:rPr>
        <w:t xml:space="preserve">action items </w:t>
      </w:r>
      <w:r w:rsidR="005C536C">
        <w:rPr>
          <w:rFonts w:ascii="Arial" w:hAnsi="Arial" w:cs="Arial"/>
        </w:rPr>
        <w:t xml:space="preserve">have been identified: </w:t>
      </w:r>
      <w:r>
        <w:rPr>
          <w:rFonts w:ascii="Arial" w:hAnsi="Arial" w:cs="Arial"/>
        </w:rPr>
        <w:t>th</w:t>
      </w:r>
      <w:r w:rsidR="002479CC">
        <w:rPr>
          <w:rFonts w:ascii="Arial" w:hAnsi="Arial" w:cs="Arial"/>
        </w:rPr>
        <w:t>e need to revise</w:t>
      </w:r>
      <w:r>
        <w:rPr>
          <w:rFonts w:ascii="Arial" w:hAnsi="Arial" w:cs="Arial"/>
        </w:rPr>
        <w:t xml:space="preserve"> computing estimates for O2 and the need to increase the </w:t>
      </w:r>
      <w:r w:rsidR="002479CC">
        <w:rPr>
          <w:rFonts w:ascii="Arial" w:hAnsi="Arial" w:cs="Arial"/>
        </w:rPr>
        <w:t>number</w:t>
      </w:r>
      <w:r>
        <w:rPr>
          <w:rFonts w:ascii="Arial" w:hAnsi="Arial" w:cs="Arial"/>
        </w:rPr>
        <w:t xml:space="preserve"> of people involved in Data Quality shifts to sustain a longer data taking.</w:t>
      </w:r>
    </w:p>
    <w:p w14:paraId="2F15F939" w14:textId="77777777" w:rsidR="00EA4AD4" w:rsidRDefault="00EA4AD4" w:rsidP="00F47C07">
      <w:pPr>
        <w:ind w:firstLine="720"/>
        <w:rPr>
          <w:rFonts w:ascii="Arial" w:hAnsi="Arial" w:cs="Arial"/>
        </w:rPr>
      </w:pPr>
    </w:p>
    <w:p w14:paraId="1E520875" w14:textId="2A2693BD" w:rsidR="00A35422" w:rsidRDefault="00EA4AD4" w:rsidP="00B419C2">
      <w:pPr>
        <w:ind w:firstLine="720"/>
        <w:rPr>
          <w:rFonts w:ascii="Arial" w:hAnsi="Arial" w:cs="Arial"/>
        </w:rPr>
      </w:pPr>
      <w:r>
        <w:rPr>
          <w:rFonts w:ascii="Arial" w:hAnsi="Arial" w:cs="Arial"/>
        </w:rPr>
        <w:t>While all of the groups have expressed flexibility in suppo</w:t>
      </w:r>
      <w:r w:rsidR="00B92413">
        <w:rPr>
          <w:rFonts w:ascii="Arial" w:hAnsi="Arial" w:cs="Arial"/>
        </w:rPr>
        <w:t xml:space="preserve">rting O2 operations in </w:t>
      </w:r>
      <w:r w:rsidR="005C536C">
        <w:rPr>
          <w:rFonts w:ascii="Arial" w:hAnsi="Arial" w:cs="Arial"/>
        </w:rPr>
        <w:t>any of</w:t>
      </w:r>
      <w:r w:rsidR="00B92413">
        <w:rPr>
          <w:rFonts w:ascii="Arial" w:hAnsi="Arial" w:cs="Arial"/>
        </w:rPr>
        <w:t xml:space="preserve"> the</w:t>
      </w:r>
      <w:r>
        <w:rPr>
          <w:rFonts w:ascii="Arial" w:hAnsi="Arial" w:cs="Arial"/>
        </w:rPr>
        <w:t xml:space="preserve"> end dates </w:t>
      </w:r>
      <w:r w:rsidR="00B92413">
        <w:rPr>
          <w:rFonts w:ascii="Arial" w:hAnsi="Arial" w:cs="Arial"/>
        </w:rPr>
        <w:t xml:space="preserve">considered </w:t>
      </w:r>
      <w:r>
        <w:rPr>
          <w:rFonts w:ascii="Arial" w:hAnsi="Arial" w:cs="Arial"/>
        </w:rPr>
        <w:t>(</w:t>
      </w:r>
      <w:r w:rsidR="005C536C">
        <w:rPr>
          <w:rFonts w:ascii="Arial" w:hAnsi="Arial" w:cs="Arial"/>
        </w:rPr>
        <w:t>from the end of July to the</w:t>
      </w:r>
      <w:r>
        <w:rPr>
          <w:rFonts w:ascii="Arial" w:hAnsi="Arial" w:cs="Arial"/>
        </w:rPr>
        <w:t xml:space="preserve"> end of August), the observatory run and detector leaders of both sites have expr</w:t>
      </w:r>
      <w:r w:rsidR="00B92413">
        <w:rPr>
          <w:rFonts w:ascii="Arial" w:hAnsi="Arial" w:cs="Arial"/>
        </w:rPr>
        <w:t>essed the need to make a prompt decision on the end date, so as to better organize operations at the observatories. Clear communications with the EM partners have also been mentioned as a reason to prefer fixing a run end date soon.</w:t>
      </w:r>
    </w:p>
    <w:p w14:paraId="4C1B3810" w14:textId="77777777" w:rsidR="00A35422" w:rsidRDefault="00A35422" w:rsidP="00DE121B">
      <w:pPr>
        <w:ind w:firstLine="720"/>
        <w:rPr>
          <w:rFonts w:ascii="Arial" w:hAnsi="Arial" w:cs="Arial"/>
        </w:rPr>
      </w:pPr>
    </w:p>
    <w:p w14:paraId="023BEE0D" w14:textId="77777777" w:rsidR="005C536C" w:rsidRDefault="005C536C" w:rsidP="00DE121B">
      <w:pPr>
        <w:ind w:firstLine="720"/>
        <w:rPr>
          <w:rFonts w:ascii="Arial" w:hAnsi="Arial" w:cs="Arial"/>
        </w:rPr>
      </w:pPr>
      <w:r>
        <w:rPr>
          <w:rFonts w:ascii="Arial" w:hAnsi="Arial" w:cs="Arial"/>
        </w:rPr>
        <w:t>We</w:t>
      </w:r>
      <w:r w:rsidR="009C7A5F">
        <w:rPr>
          <w:rFonts w:ascii="Arial" w:hAnsi="Arial" w:cs="Arial"/>
        </w:rPr>
        <w:t xml:space="preserve"> also collected input regarding </w:t>
      </w:r>
      <w:r>
        <w:rPr>
          <w:rFonts w:ascii="Arial" w:hAnsi="Arial" w:cs="Arial"/>
        </w:rPr>
        <w:t xml:space="preserve">the run </w:t>
      </w:r>
      <w:proofErr w:type="gramStart"/>
      <w:r w:rsidR="009C7A5F">
        <w:rPr>
          <w:rFonts w:ascii="Arial" w:hAnsi="Arial" w:cs="Arial"/>
        </w:rPr>
        <w:t>close-out</w:t>
      </w:r>
      <w:proofErr w:type="gramEnd"/>
      <w:r w:rsidR="009C7A5F">
        <w:rPr>
          <w:rFonts w:ascii="Arial" w:hAnsi="Arial" w:cs="Arial"/>
        </w:rPr>
        <w:t xml:space="preserve"> measurements. </w:t>
      </w:r>
    </w:p>
    <w:p w14:paraId="6E025284" w14:textId="4C2E580B" w:rsidR="009C7A5F" w:rsidRDefault="009C7A5F" w:rsidP="00DE121B">
      <w:pPr>
        <w:ind w:firstLine="720"/>
        <w:rPr>
          <w:rFonts w:ascii="Arial" w:hAnsi="Arial" w:cs="Arial"/>
        </w:rPr>
      </w:pPr>
      <w:r>
        <w:rPr>
          <w:rFonts w:ascii="Arial" w:hAnsi="Arial" w:cs="Arial"/>
        </w:rPr>
        <w:t>The main requests</w:t>
      </w:r>
      <w:r w:rsidR="005C536C">
        <w:rPr>
          <w:rFonts w:ascii="Arial" w:hAnsi="Arial" w:cs="Arial"/>
        </w:rPr>
        <w:t xml:space="preserve"> are for</w:t>
      </w:r>
      <w:r>
        <w:rPr>
          <w:rFonts w:ascii="Arial" w:hAnsi="Arial" w:cs="Arial"/>
        </w:rPr>
        <w:t>:</w:t>
      </w:r>
    </w:p>
    <w:p w14:paraId="0C1185FD" w14:textId="58E38CBE" w:rsidR="009C7A5F" w:rsidRDefault="005C536C" w:rsidP="009C7A5F">
      <w:pPr>
        <w:pStyle w:val="ListParagraph"/>
        <w:numPr>
          <w:ilvl w:val="0"/>
          <w:numId w:val="24"/>
        </w:numPr>
        <w:rPr>
          <w:rFonts w:ascii="Arial" w:hAnsi="Arial" w:cs="Arial"/>
        </w:rPr>
      </w:pPr>
      <w:r>
        <w:rPr>
          <w:rFonts w:ascii="Arial" w:hAnsi="Arial" w:cs="Arial"/>
        </w:rPr>
        <w:t xml:space="preserve">PEM injections: </w:t>
      </w:r>
      <w:r w:rsidR="009C7A5F">
        <w:rPr>
          <w:rFonts w:ascii="Arial" w:hAnsi="Arial" w:cs="Arial"/>
        </w:rPr>
        <w:t>one 8 hour shift per day for a week at each sit</w:t>
      </w:r>
      <w:r>
        <w:rPr>
          <w:rFonts w:ascii="Arial" w:hAnsi="Arial" w:cs="Arial"/>
        </w:rPr>
        <w:t>e, preferably to be performed sequentially;</w:t>
      </w:r>
    </w:p>
    <w:p w14:paraId="100DD72F" w14:textId="58E17E94" w:rsidR="009C7A5F" w:rsidRPr="009C7A5F" w:rsidRDefault="00F47C07" w:rsidP="009C7A5F">
      <w:pPr>
        <w:pStyle w:val="ListParagraph"/>
        <w:numPr>
          <w:ilvl w:val="0"/>
          <w:numId w:val="24"/>
        </w:numPr>
        <w:rPr>
          <w:rFonts w:ascii="Arial" w:hAnsi="Arial" w:cs="Arial"/>
        </w:rPr>
      </w:pPr>
      <w:r>
        <w:rPr>
          <w:rFonts w:ascii="Arial" w:hAnsi="Arial" w:cs="Arial"/>
        </w:rPr>
        <w:t xml:space="preserve">Calibration: </w:t>
      </w:r>
      <w:r w:rsidR="009C7A5F">
        <w:rPr>
          <w:rFonts w:ascii="Arial" w:hAnsi="Arial" w:cs="Arial"/>
        </w:rPr>
        <w:t>1-2 shifts for dedicated measurements.</w:t>
      </w:r>
    </w:p>
    <w:p w14:paraId="78215A29" w14:textId="30ED746F" w:rsidR="00751C69" w:rsidRDefault="002479CC" w:rsidP="00B92413">
      <w:pPr>
        <w:ind w:firstLine="720"/>
        <w:rPr>
          <w:rFonts w:ascii="Arial" w:hAnsi="Arial" w:cs="Arial"/>
        </w:rPr>
      </w:pPr>
      <w:r>
        <w:rPr>
          <w:rFonts w:ascii="Arial" w:hAnsi="Arial" w:cs="Arial"/>
        </w:rPr>
        <w:lastRenderedPageBreak/>
        <w:t>As opposed to</w:t>
      </w:r>
      <w:r w:rsidR="00F47C07">
        <w:rPr>
          <w:rFonts w:ascii="Arial" w:hAnsi="Arial" w:cs="Arial"/>
        </w:rPr>
        <w:t xml:space="preserve"> what </w:t>
      </w:r>
      <w:r>
        <w:rPr>
          <w:rFonts w:ascii="Arial" w:hAnsi="Arial" w:cs="Arial"/>
        </w:rPr>
        <w:t>was</w:t>
      </w:r>
      <w:r w:rsidR="00F47C07">
        <w:rPr>
          <w:rFonts w:ascii="Arial" w:hAnsi="Arial" w:cs="Arial"/>
        </w:rPr>
        <w:t xml:space="preserve"> done </w:t>
      </w:r>
      <w:r w:rsidR="00EA4AD4">
        <w:rPr>
          <w:rFonts w:ascii="Arial" w:hAnsi="Arial" w:cs="Arial"/>
        </w:rPr>
        <w:t>for O1</w:t>
      </w:r>
      <w:r w:rsidR="00F47C07">
        <w:rPr>
          <w:rFonts w:ascii="Arial" w:hAnsi="Arial" w:cs="Arial"/>
        </w:rPr>
        <w:t xml:space="preserve">, we agreed that </w:t>
      </w:r>
      <w:proofErr w:type="gramStart"/>
      <w:r w:rsidR="00F47C07">
        <w:rPr>
          <w:rFonts w:ascii="Arial" w:hAnsi="Arial" w:cs="Arial"/>
        </w:rPr>
        <w:t>close-out</w:t>
      </w:r>
      <w:proofErr w:type="gramEnd"/>
      <w:r w:rsidR="00F47C07">
        <w:rPr>
          <w:rFonts w:ascii="Arial" w:hAnsi="Arial" w:cs="Arial"/>
        </w:rPr>
        <w:t xml:space="preserve"> measurements should be performed </w:t>
      </w:r>
      <w:r w:rsidR="00F47C07" w:rsidRPr="00F47C07">
        <w:rPr>
          <w:rFonts w:ascii="Arial" w:hAnsi="Arial" w:cs="Arial"/>
          <w:u w:val="single"/>
        </w:rPr>
        <w:t>before the end date of the run</w:t>
      </w:r>
      <w:r w:rsidR="00EA4AD4">
        <w:rPr>
          <w:rFonts w:ascii="Arial" w:hAnsi="Arial" w:cs="Arial"/>
        </w:rPr>
        <w:t>, without</w:t>
      </w:r>
      <w:r w:rsidR="00F47C07">
        <w:rPr>
          <w:rFonts w:ascii="Arial" w:hAnsi="Arial" w:cs="Arial"/>
        </w:rPr>
        <w:t xml:space="preserve"> add</w:t>
      </w:r>
      <w:r w:rsidR="00EA4AD4">
        <w:rPr>
          <w:rFonts w:ascii="Arial" w:hAnsi="Arial" w:cs="Arial"/>
        </w:rPr>
        <w:t>ing</w:t>
      </w:r>
      <w:r w:rsidR="00F47C07">
        <w:rPr>
          <w:rFonts w:ascii="Arial" w:hAnsi="Arial" w:cs="Arial"/>
        </w:rPr>
        <w:t xml:space="preserve"> a specific close-out measurement period after the run. </w:t>
      </w:r>
      <w:r w:rsidR="00EA4AD4">
        <w:rPr>
          <w:rFonts w:ascii="Arial" w:hAnsi="Arial" w:cs="Arial"/>
        </w:rPr>
        <w:t xml:space="preserve">This will simplify communications with all of the groups involved, as </w:t>
      </w:r>
      <w:proofErr w:type="gramStart"/>
      <w:r w:rsidR="00EA4AD4">
        <w:rPr>
          <w:rFonts w:ascii="Arial" w:hAnsi="Arial" w:cs="Arial"/>
        </w:rPr>
        <w:t>close-out</w:t>
      </w:r>
      <w:proofErr w:type="gramEnd"/>
      <w:r w:rsidR="00EA4AD4">
        <w:rPr>
          <w:rFonts w:ascii="Arial" w:hAnsi="Arial" w:cs="Arial"/>
        </w:rPr>
        <w:t xml:space="preserve"> measurements still require a working instrument in run configuration, full coverage and follow-up analysis of the data.</w:t>
      </w:r>
    </w:p>
    <w:p w14:paraId="27B0EAF1" w14:textId="77777777" w:rsidR="00A35422" w:rsidRDefault="00A35422" w:rsidP="00B92413">
      <w:pPr>
        <w:ind w:firstLine="720"/>
        <w:rPr>
          <w:rFonts w:ascii="Arial" w:hAnsi="Arial" w:cs="Arial"/>
        </w:rPr>
      </w:pPr>
    </w:p>
    <w:p w14:paraId="7C7B77D4" w14:textId="2E7A73ED" w:rsidR="00A35422" w:rsidRPr="00A35422" w:rsidRDefault="002479CC" w:rsidP="00A35422">
      <w:pPr>
        <w:jc w:val="both"/>
        <w:rPr>
          <w:rFonts w:ascii="Arial" w:hAnsi="Arial" w:cs="Arial"/>
        </w:rPr>
      </w:pPr>
      <w:r>
        <w:rPr>
          <w:rFonts w:ascii="Arial" w:hAnsi="Arial" w:cs="Arial"/>
        </w:rPr>
        <w:t>Some preference for the</w:t>
      </w:r>
      <w:r w:rsidR="00A35422">
        <w:rPr>
          <w:rFonts w:ascii="Arial" w:hAnsi="Arial" w:cs="Arial"/>
        </w:rPr>
        <w:t xml:space="preserve"> end of August</w:t>
      </w:r>
      <w:r>
        <w:rPr>
          <w:rFonts w:ascii="Arial" w:hAnsi="Arial" w:cs="Arial"/>
        </w:rPr>
        <w:t xml:space="preserve"> as the O2 end date</w:t>
      </w:r>
      <w:r w:rsidR="00A35422">
        <w:rPr>
          <w:rFonts w:ascii="Arial" w:hAnsi="Arial" w:cs="Arial"/>
        </w:rPr>
        <w:t xml:space="preserve"> has been </w:t>
      </w:r>
      <w:r>
        <w:rPr>
          <w:rFonts w:ascii="Arial" w:hAnsi="Arial" w:cs="Arial"/>
        </w:rPr>
        <w:t>expressed</w:t>
      </w:r>
      <w:r w:rsidR="00A35422">
        <w:rPr>
          <w:rFonts w:ascii="Arial" w:hAnsi="Arial" w:cs="Arial"/>
        </w:rPr>
        <w:t xml:space="preserve"> for the following reasons: a projected high duty cycle at both sites</w:t>
      </w:r>
      <w:r>
        <w:rPr>
          <w:rFonts w:ascii="Arial" w:hAnsi="Arial" w:cs="Arial"/>
        </w:rPr>
        <w:t xml:space="preserve"> during the summer</w:t>
      </w:r>
      <w:r w:rsidR="00A35422">
        <w:rPr>
          <w:rFonts w:ascii="Arial" w:hAnsi="Arial" w:cs="Arial"/>
        </w:rPr>
        <w:t xml:space="preserve">, more time for the observatory teams to get ready for in-vacuum incursions, </w:t>
      </w:r>
      <w:r>
        <w:rPr>
          <w:rFonts w:ascii="Arial" w:hAnsi="Arial" w:cs="Arial"/>
        </w:rPr>
        <w:t>greater chance</w:t>
      </w:r>
      <w:r w:rsidR="00A35422">
        <w:rPr>
          <w:rFonts w:ascii="Arial" w:hAnsi="Arial" w:cs="Arial"/>
        </w:rPr>
        <w:t xml:space="preserve"> for Virgo to join. </w:t>
      </w:r>
      <w:r w:rsidRPr="00A35422">
        <w:rPr>
          <w:rFonts w:ascii="Arial" w:hAnsi="Arial" w:cs="Arial"/>
        </w:rPr>
        <w:t>While the OMT is in a better po</w:t>
      </w:r>
      <w:r>
        <w:rPr>
          <w:rFonts w:ascii="Arial" w:hAnsi="Arial" w:cs="Arial"/>
        </w:rPr>
        <w:t>sition than this group to establish</w:t>
      </w:r>
      <w:r w:rsidRPr="00A35422">
        <w:rPr>
          <w:rFonts w:ascii="Arial" w:hAnsi="Arial" w:cs="Arial"/>
        </w:rPr>
        <w:t xml:space="preserve"> the O2 end date, the opinions that have been expressed suggest that Monday, August 28</w:t>
      </w:r>
      <w:r w:rsidRPr="00A35422">
        <w:rPr>
          <w:rFonts w:ascii="Arial" w:hAnsi="Arial" w:cs="Arial"/>
          <w:vertAlign w:val="superscript"/>
        </w:rPr>
        <w:t>th</w:t>
      </w:r>
      <w:r w:rsidRPr="00A35422">
        <w:rPr>
          <w:rFonts w:ascii="Arial" w:hAnsi="Arial" w:cs="Arial"/>
        </w:rPr>
        <w:t xml:space="preserve"> 2017 could</w:t>
      </w:r>
      <w:r>
        <w:rPr>
          <w:rFonts w:ascii="Arial" w:hAnsi="Arial" w:cs="Arial"/>
        </w:rPr>
        <w:t xml:space="preserve"> be</w:t>
      </w:r>
      <w:r w:rsidRPr="00A35422">
        <w:rPr>
          <w:rFonts w:ascii="Arial" w:hAnsi="Arial" w:cs="Arial"/>
        </w:rPr>
        <w:t xml:space="preserve"> a reasonable target</w:t>
      </w:r>
      <w:r>
        <w:rPr>
          <w:rFonts w:ascii="Arial" w:hAnsi="Arial" w:cs="Arial"/>
        </w:rPr>
        <w:t xml:space="preserve">. </w:t>
      </w:r>
      <w:r w:rsidR="00A35422">
        <w:rPr>
          <w:rFonts w:ascii="Arial" w:hAnsi="Arial" w:cs="Arial"/>
        </w:rPr>
        <w:t xml:space="preserve">This proposal assumes that </w:t>
      </w:r>
      <w:proofErr w:type="gramStart"/>
      <w:r w:rsidR="00A35422">
        <w:rPr>
          <w:rFonts w:ascii="Arial" w:hAnsi="Arial" w:cs="Arial"/>
        </w:rPr>
        <w:t>close-out</w:t>
      </w:r>
      <w:proofErr w:type="gramEnd"/>
      <w:r w:rsidR="00A35422">
        <w:rPr>
          <w:rFonts w:ascii="Arial" w:hAnsi="Arial" w:cs="Arial"/>
        </w:rPr>
        <w:t xml:space="preserve"> measurements will be completed by that</w:t>
      </w:r>
      <w:r w:rsidR="005C536C">
        <w:rPr>
          <w:rFonts w:ascii="Arial" w:hAnsi="Arial" w:cs="Arial"/>
        </w:rPr>
        <w:t xml:space="preserve"> date, thus starting mid-August.</w:t>
      </w:r>
    </w:p>
    <w:p w14:paraId="2B36A139" w14:textId="77777777" w:rsidR="00A35422" w:rsidRDefault="00A35422" w:rsidP="00A35422">
      <w:pPr>
        <w:rPr>
          <w:rFonts w:ascii="Arial" w:hAnsi="Arial" w:cs="Arial"/>
        </w:rPr>
      </w:pPr>
    </w:p>
    <w:p w14:paraId="52574BDA" w14:textId="77777777" w:rsidR="00A35422" w:rsidRPr="00B92413" w:rsidRDefault="00A35422" w:rsidP="00B92413">
      <w:pPr>
        <w:ind w:firstLine="720"/>
        <w:rPr>
          <w:rFonts w:ascii="Arial" w:hAnsi="Arial" w:cs="Arial"/>
        </w:rPr>
      </w:pPr>
    </w:p>
    <w:p w14:paraId="7585FED4" w14:textId="22873EC1" w:rsidR="00A35422" w:rsidRDefault="00A35422" w:rsidP="00A35422">
      <w:pPr>
        <w:rPr>
          <w:rFonts w:ascii="Arial" w:hAnsi="Arial"/>
        </w:rPr>
      </w:pPr>
      <w:r>
        <w:rPr>
          <w:rFonts w:ascii="Arial" w:hAnsi="Arial"/>
        </w:rPr>
        <w:t>To summarize:</w:t>
      </w:r>
    </w:p>
    <w:p w14:paraId="3ABE107B" w14:textId="77777777" w:rsidR="005C536C" w:rsidRDefault="005C536C" w:rsidP="00A35422">
      <w:pPr>
        <w:rPr>
          <w:rFonts w:ascii="Arial" w:hAnsi="Arial"/>
        </w:rPr>
      </w:pPr>
    </w:p>
    <w:p w14:paraId="4AAE79E6" w14:textId="74D83E92" w:rsidR="00A35422" w:rsidRDefault="00A35422" w:rsidP="00A35422">
      <w:pPr>
        <w:pStyle w:val="ListParagraph"/>
        <w:numPr>
          <w:ilvl w:val="0"/>
          <w:numId w:val="25"/>
        </w:numPr>
        <w:rPr>
          <w:rFonts w:ascii="Arial" w:hAnsi="Arial"/>
        </w:rPr>
      </w:pPr>
      <w:r>
        <w:rPr>
          <w:rFonts w:ascii="Arial" w:hAnsi="Arial"/>
        </w:rPr>
        <w:t>There is broad support for extending O2</w:t>
      </w:r>
      <w:r w:rsidR="00785254">
        <w:rPr>
          <w:rFonts w:ascii="Arial" w:hAnsi="Arial"/>
        </w:rPr>
        <w:t>;</w:t>
      </w:r>
    </w:p>
    <w:p w14:paraId="11E0D58B" w14:textId="77777777" w:rsidR="00A35422" w:rsidRPr="00A35422" w:rsidRDefault="00A35422" w:rsidP="00A35422">
      <w:pPr>
        <w:rPr>
          <w:rFonts w:ascii="Arial" w:hAnsi="Arial" w:cs="Arial"/>
        </w:rPr>
      </w:pPr>
    </w:p>
    <w:p w14:paraId="5E1095A1" w14:textId="09B80D05" w:rsidR="00A35422" w:rsidRDefault="00A35422" w:rsidP="00A35422">
      <w:pPr>
        <w:pStyle w:val="ListParagraph"/>
        <w:numPr>
          <w:ilvl w:val="0"/>
          <w:numId w:val="25"/>
        </w:numPr>
        <w:rPr>
          <w:rFonts w:ascii="Arial" w:hAnsi="Arial"/>
        </w:rPr>
      </w:pPr>
      <w:r>
        <w:rPr>
          <w:rFonts w:ascii="Arial" w:hAnsi="Arial"/>
        </w:rPr>
        <w:t>Any OMT decision for a particular O2 end date in the period between end of July and end of August will be supported</w:t>
      </w:r>
      <w:r w:rsidR="00785254">
        <w:rPr>
          <w:rFonts w:ascii="Arial" w:hAnsi="Arial"/>
        </w:rPr>
        <w:t xml:space="preserve"> without major impacts;</w:t>
      </w:r>
    </w:p>
    <w:p w14:paraId="1C3F804A" w14:textId="77777777" w:rsidR="00A35422" w:rsidRPr="00A35422" w:rsidRDefault="00A35422" w:rsidP="00A35422">
      <w:pPr>
        <w:rPr>
          <w:rFonts w:ascii="Arial" w:hAnsi="Arial"/>
        </w:rPr>
      </w:pPr>
    </w:p>
    <w:p w14:paraId="7B230E6A" w14:textId="6B1B6AE6" w:rsidR="00785254" w:rsidRDefault="00A35422" w:rsidP="00785254">
      <w:pPr>
        <w:pStyle w:val="ListParagraph"/>
        <w:numPr>
          <w:ilvl w:val="0"/>
          <w:numId w:val="25"/>
        </w:numPr>
        <w:rPr>
          <w:rFonts w:ascii="Arial" w:hAnsi="Arial"/>
        </w:rPr>
      </w:pPr>
      <w:r w:rsidRPr="00785254">
        <w:rPr>
          <w:rFonts w:ascii="Arial" w:hAnsi="Arial"/>
        </w:rPr>
        <w:t>There is a preference for extending O2 towards the</w:t>
      </w:r>
      <w:r w:rsidR="00785254" w:rsidRPr="00785254">
        <w:rPr>
          <w:rFonts w:ascii="Arial" w:hAnsi="Arial"/>
        </w:rPr>
        <w:t xml:space="preserve"> end of August</w:t>
      </w:r>
      <w:r w:rsidR="00785254">
        <w:rPr>
          <w:rFonts w:ascii="Arial" w:hAnsi="Arial"/>
        </w:rPr>
        <w:t>;</w:t>
      </w:r>
    </w:p>
    <w:p w14:paraId="160579B9" w14:textId="77777777" w:rsidR="00785254" w:rsidRPr="00785254" w:rsidRDefault="00785254" w:rsidP="00785254">
      <w:pPr>
        <w:rPr>
          <w:rFonts w:ascii="Arial" w:hAnsi="Arial"/>
        </w:rPr>
      </w:pPr>
    </w:p>
    <w:p w14:paraId="2325D309" w14:textId="30B8D8F9" w:rsidR="00785254" w:rsidRPr="00A35422" w:rsidRDefault="00785254" w:rsidP="00A35422">
      <w:pPr>
        <w:pStyle w:val="ListParagraph"/>
        <w:numPr>
          <w:ilvl w:val="0"/>
          <w:numId w:val="25"/>
        </w:numPr>
        <w:rPr>
          <w:rFonts w:ascii="Arial" w:hAnsi="Arial"/>
        </w:rPr>
      </w:pPr>
      <w:r>
        <w:rPr>
          <w:rFonts w:ascii="Arial" w:hAnsi="Arial"/>
        </w:rPr>
        <w:t xml:space="preserve">More than the actual date itself, it is important to promptly communicate what the date will be, so that all of the groups can be prepared to </w:t>
      </w:r>
      <w:r w:rsidR="005C536C">
        <w:rPr>
          <w:rFonts w:ascii="Arial" w:hAnsi="Arial"/>
        </w:rPr>
        <w:t>support the run until that date. T</w:t>
      </w:r>
      <w:r>
        <w:rPr>
          <w:rFonts w:ascii="Arial" w:hAnsi="Arial"/>
        </w:rPr>
        <w:t xml:space="preserve">his is particularly important for the groups involved in directly operating the instruments, and responding to </w:t>
      </w:r>
      <w:r w:rsidR="00B419C2">
        <w:rPr>
          <w:rFonts w:ascii="Arial" w:hAnsi="Arial"/>
        </w:rPr>
        <w:t>triggers</w:t>
      </w:r>
      <w:r>
        <w:rPr>
          <w:rFonts w:ascii="Arial" w:hAnsi="Arial"/>
        </w:rPr>
        <w:t>.</w:t>
      </w:r>
    </w:p>
    <w:sectPr w:rsidR="00785254" w:rsidRPr="00A35422" w:rsidSect="004E550E">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2BDC6" w14:textId="77777777" w:rsidR="002479CC" w:rsidRDefault="002479CC" w:rsidP="0063053D">
      <w:r>
        <w:separator/>
      </w:r>
    </w:p>
  </w:endnote>
  <w:endnote w:type="continuationSeparator" w:id="0">
    <w:p w14:paraId="55782A60" w14:textId="77777777" w:rsidR="002479CC" w:rsidRDefault="002479CC" w:rsidP="0063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48E9F" w14:textId="2C8CC706" w:rsidR="002479CC" w:rsidRPr="00AE48D9" w:rsidRDefault="002479CC" w:rsidP="0063053D">
    <w:pPr>
      <w:pStyle w:val="Footer"/>
    </w:pPr>
    <w:r w:rsidRPr="002B2FF6">
      <w:t>L</w:t>
    </w:r>
    <w:r w:rsidR="00AA0031">
      <w:t>IGO-L1700023-v2</w:t>
    </w:r>
    <w:r>
      <w:tab/>
    </w:r>
    <w:r>
      <w:tab/>
    </w:r>
    <w:r w:rsidRPr="008E6250">
      <w:rPr>
        <w:color w:val="808080" w:themeColor="background1" w:themeShade="80"/>
        <w:spacing w:val="60"/>
      </w:rPr>
      <w:t>Page</w:t>
    </w:r>
    <w:r w:rsidRPr="008E6250">
      <w:t xml:space="preserve"> | </w:t>
    </w:r>
    <w:r w:rsidRPr="008E6250">
      <w:fldChar w:fldCharType="begin"/>
    </w:r>
    <w:r w:rsidRPr="008E6250">
      <w:instrText xml:space="preserve"> PAGE   \* MERGEFORMAT </w:instrText>
    </w:r>
    <w:r w:rsidRPr="008E6250">
      <w:fldChar w:fldCharType="separate"/>
    </w:r>
    <w:r w:rsidR="00197E86" w:rsidRPr="00197E86">
      <w:rPr>
        <w:b/>
        <w:bCs/>
        <w:noProof/>
      </w:rPr>
      <w:t>2</w:t>
    </w:r>
    <w:r w:rsidRPr="008E6250">
      <w:rPr>
        <w:b/>
        <w:bCs/>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3239D" w14:textId="77777777" w:rsidR="002479CC" w:rsidRDefault="002479CC" w:rsidP="0063053D">
      <w:r>
        <w:separator/>
      </w:r>
    </w:p>
  </w:footnote>
  <w:footnote w:type="continuationSeparator" w:id="0">
    <w:p w14:paraId="720E8A25" w14:textId="77777777" w:rsidR="002479CC" w:rsidRDefault="002479CC" w:rsidP="006305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1EE2"/>
    <w:multiLevelType w:val="hybridMultilevel"/>
    <w:tmpl w:val="0AA4786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1B3C26"/>
    <w:multiLevelType w:val="multilevel"/>
    <w:tmpl w:val="C116E524"/>
    <w:lvl w:ilvl="0">
      <w:start w:val="1"/>
      <w:numFmt w:val="lowerRoman"/>
      <w:lvlText w:val="%1."/>
      <w:lvlJc w:val="right"/>
      <w:pPr>
        <w:ind w:left="1080" w:hanging="360"/>
      </w:pPr>
      <w:rPr>
        <w:rFonts w:hint="default"/>
      </w:rPr>
    </w:lvl>
    <w:lvl w:ilvl="1">
      <w:start w:val="1"/>
      <w:numFmt w:val="decimal"/>
      <w:pStyle w:val="Heading2"/>
      <w:lvlText w:val="%1.%2"/>
      <w:lvlJc w:val="left"/>
      <w:pPr>
        <w:ind w:left="1296" w:hanging="576"/>
      </w:pPr>
      <w:rPr>
        <w:rFonts w:hint="default"/>
      </w:rPr>
    </w:lvl>
    <w:lvl w:ilvl="2">
      <w:start w:val="1"/>
      <w:numFmt w:val="decimal"/>
      <w:pStyle w:val="Heading3"/>
      <w:lvlText w:val="%1.%2.%3"/>
      <w:lvlJc w:val="left"/>
      <w:pPr>
        <w:ind w:left="1440" w:hanging="720"/>
      </w:pPr>
      <w:rPr>
        <w:rFonts w:hint="default"/>
      </w:rPr>
    </w:lvl>
    <w:lvl w:ilvl="3">
      <w:start w:val="1"/>
      <w:numFmt w:val="decimal"/>
      <w:pStyle w:val="Heading4"/>
      <w:lvlText w:val="%1.%2.%3.%4"/>
      <w:lvlJc w:val="left"/>
      <w:pPr>
        <w:ind w:left="1584" w:hanging="864"/>
      </w:pPr>
      <w:rPr>
        <w:rFonts w:hint="default"/>
      </w:rPr>
    </w:lvl>
    <w:lvl w:ilvl="4">
      <w:start w:val="1"/>
      <w:numFmt w:val="decimal"/>
      <w:pStyle w:val="Heading5"/>
      <w:lvlText w:val="%1.%2.%3.%4.%5"/>
      <w:lvlJc w:val="left"/>
      <w:pPr>
        <w:ind w:left="1728" w:hanging="1008"/>
      </w:pPr>
      <w:rPr>
        <w:rFonts w:hint="default"/>
      </w:rPr>
    </w:lvl>
    <w:lvl w:ilvl="5">
      <w:start w:val="1"/>
      <w:numFmt w:val="decimal"/>
      <w:pStyle w:val="Heading6"/>
      <w:lvlText w:val="%1.%2.%3.%4.%5.%6"/>
      <w:lvlJc w:val="left"/>
      <w:pPr>
        <w:ind w:left="1872" w:hanging="1152"/>
      </w:pPr>
      <w:rPr>
        <w:rFonts w:hint="default"/>
      </w:rPr>
    </w:lvl>
    <w:lvl w:ilvl="6">
      <w:start w:val="1"/>
      <w:numFmt w:val="decimal"/>
      <w:pStyle w:val="Heading7"/>
      <w:lvlText w:val="%1.%2.%3.%4.%5.%6.%7"/>
      <w:lvlJc w:val="left"/>
      <w:pPr>
        <w:ind w:left="2016" w:hanging="1296"/>
      </w:pPr>
      <w:rPr>
        <w:rFonts w:hint="default"/>
      </w:rPr>
    </w:lvl>
    <w:lvl w:ilvl="7">
      <w:start w:val="1"/>
      <w:numFmt w:val="decimal"/>
      <w:pStyle w:val="Heading8"/>
      <w:lvlText w:val="%1.%2.%3.%4.%5.%6.%7.%8"/>
      <w:lvlJc w:val="left"/>
      <w:pPr>
        <w:ind w:left="2160" w:hanging="1440"/>
      </w:pPr>
      <w:rPr>
        <w:rFonts w:hint="default"/>
      </w:rPr>
    </w:lvl>
    <w:lvl w:ilvl="8">
      <w:start w:val="1"/>
      <w:numFmt w:val="decimal"/>
      <w:pStyle w:val="Heading9"/>
      <w:lvlText w:val="%1.%2.%3.%4.%5.%6.%7.%8.%9"/>
      <w:lvlJc w:val="left"/>
      <w:pPr>
        <w:ind w:left="2304" w:hanging="1584"/>
      </w:pPr>
      <w:rPr>
        <w:rFonts w:hint="default"/>
      </w:rPr>
    </w:lvl>
  </w:abstractNum>
  <w:abstractNum w:abstractNumId="2">
    <w:nsid w:val="1E8878EB"/>
    <w:multiLevelType w:val="hybridMultilevel"/>
    <w:tmpl w:val="B9C8B13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2F6C1F"/>
    <w:multiLevelType w:val="hybridMultilevel"/>
    <w:tmpl w:val="4F42F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9E2307"/>
    <w:multiLevelType w:val="hybridMultilevel"/>
    <w:tmpl w:val="E000067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BA56CB"/>
    <w:multiLevelType w:val="hybridMultilevel"/>
    <w:tmpl w:val="F660671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7A1D58"/>
    <w:multiLevelType w:val="hybridMultilevel"/>
    <w:tmpl w:val="F9749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8502E7"/>
    <w:multiLevelType w:val="hybridMultilevel"/>
    <w:tmpl w:val="E94C8B6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AB0329"/>
    <w:multiLevelType w:val="hybridMultilevel"/>
    <w:tmpl w:val="F25C7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9790F48"/>
    <w:multiLevelType w:val="hybridMultilevel"/>
    <w:tmpl w:val="E7A4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7E5F4F"/>
    <w:multiLevelType w:val="hybridMultilevel"/>
    <w:tmpl w:val="454E2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026A05"/>
    <w:multiLevelType w:val="hybridMultilevel"/>
    <w:tmpl w:val="07D0F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3F43334"/>
    <w:multiLevelType w:val="hybridMultilevel"/>
    <w:tmpl w:val="1E7CD26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B9A052D"/>
    <w:multiLevelType w:val="hybridMultilevel"/>
    <w:tmpl w:val="62167C9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EC4C4A"/>
    <w:multiLevelType w:val="multilevel"/>
    <w:tmpl w:val="B3D81D0E"/>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15">
    <w:nsid w:val="4E943D22"/>
    <w:multiLevelType w:val="hybridMultilevel"/>
    <w:tmpl w:val="0E369C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B213E38"/>
    <w:multiLevelType w:val="hybridMultilevel"/>
    <w:tmpl w:val="7C4CD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A87A95"/>
    <w:multiLevelType w:val="hybridMultilevel"/>
    <w:tmpl w:val="CD4C81D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DB33B8A"/>
    <w:multiLevelType w:val="multilevel"/>
    <w:tmpl w:val="7B54BEB2"/>
    <w:lvl w:ilvl="0">
      <w:start w:val="1"/>
      <w:numFmt w:val="lowerRoman"/>
      <w:lvlText w:val="%1."/>
      <w:lvlJc w:val="right"/>
      <w:pPr>
        <w:ind w:left="1080" w:hanging="360"/>
      </w:pPr>
      <w:rPr>
        <w:rFonts w:hint="default"/>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9">
    <w:nsid w:val="74A12444"/>
    <w:multiLevelType w:val="hybridMultilevel"/>
    <w:tmpl w:val="DB142A8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8B9180E"/>
    <w:multiLevelType w:val="hybridMultilevel"/>
    <w:tmpl w:val="305C8E0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30684C"/>
    <w:multiLevelType w:val="hybridMultilevel"/>
    <w:tmpl w:val="10781D0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EF667E1"/>
    <w:multiLevelType w:val="hybridMultilevel"/>
    <w:tmpl w:val="BBAC5B5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7FF10C73"/>
    <w:multiLevelType w:val="hybridMultilevel"/>
    <w:tmpl w:val="B0FAE78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3"/>
  </w:num>
  <w:num w:numId="6">
    <w:abstractNumId w:val="21"/>
  </w:num>
  <w:num w:numId="7">
    <w:abstractNumId w:val="7"/>
  </w:num>
  <w:num w:numId="8">
    <w:abstractNumId w:val="1"/>
  </w:num>
  <w:num w:numId="9">
    <w:abstractNumId w:val="5"/>
  </w:num>
  <w:num w:numId="10">
    <w:abstractNumId w:val="23"/>
  </w:num>
  <w:num w:numId="11">
    <w:abstractNumId w:val="4"/>
  </w:num>
  <w:num w:numId="12">
    <w:abstractNumId w:val="19"/>
  </w:num>
  <w:num w:numId="13">
    <w:abstractNumId w:val="2"/>
  </w:num>
  <w:num w:numId="14">
    <w:abstractNumId w:val="17"/>
  </w:num>
  <w:num w:numId="15">
    <w:abstractNumId w:val="20"/>
  </w:num>
  <w:num w:numId="16">
    <w:abstractNumId w:val="0"/>
  </w:num>
  <w:num w:numId="17">
    <w:abstractNumId w:val="12"/>
  </w:num>
  <w:num w:numId="18">
    <w:abstractNumId w:val="22"/>
  </w:num>
  <w:num w:numId="19">
    <w:abstractNumId w:val="11"/>
  </w:num>
  <w:num w:numId="20">
    <w:abstractNumId w:val="15"/>
  </w:num>
  <w:num w:numId="21">
    <w:abstractNumId w:val="6"/>
  </w:num>
  <w:num w:numId="22">
    <w:abstractNumId w:val="9"/>
  </w:num>
  <w:num w:numId="23">
    <w:abstractNumId w:val="8"/>
  </w:num>
  <w:num w:numId="24">
    <w:abstractNumId w:val="3"/>
  </w:num>
  <w:num w:numId="2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9"/>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9D8"/>
    <w:rsid w:val="00002E35"/>
    <w:rsid w:val="000067D5"/>
    <w:rsid w:val="00006E86"/>
    <w:rsid w:val="000123CF"/>
    <w:rsid w:val="00024AF8"/>
    <w:rsid w:val="00025959"/>
    <w:rsid w:val="00025F6D"/>
    <w:rsid w:val="00026454"/>
    <w:rsid w:val="00041306"/>
    <w:rsid w:val="00042FB6"/>
    <w:rsid w:val="00051FD9"/>
    <w:rsid w:val="000565F0"/>
    <w:rsid w:val="0006082A"/>
    <w:rsid w:val="00060A1E"/>
    <w:rsid w:val="00061284"/>
    <w:rsid w:val="00063DCF"/>
    <w:rsid w:val="00066F48"/>
    <w:rsid w:val="0007465A"/>
    <w:rsid w:val="00074878"/>
    <w:rsid w:val="0007564E"/>
    <w:rsid w:val="000758A3"/>
    <w:rsid w:val="000761C4"/>
    <w:rsid w:val="0008189C"/>
    <w:rsid w:val="00082147"/>
    <w:rsid w:val="00087A6E"/>
    <w:rsid w:val="00090042"/>
    <w:rsid w:val="000950E8"/>
    <w:rsid w:val="00097DA6"/>
    <w:rsid w:val="000A0EBD"/>
    <w:rsid w:val="000A3EF6"/>
    <w:rsid w:val="000A520D"/>
    <w:rsid w:val="000A5C03"/>
    <w:rsid w:val="000B0274"/>
    <w:rsid w:val="000B5FBF"/>
    <w:rsid w:val="000B6C4B"/>
    <w:rsid w:val="000D071F"/>
    <w:rsid w:val="000D3430"/>
    <w:rsid w:val="000D5B92"/>
    <w:rsid w:val="000D7B47"/>
    <w:rsid w:val="000E0A6C"/>
    <w:rsid w:val="000E2088"/>
    <w:rsid w:val="000E2E4D"/>
    <w:rsid w:val="000E4185"/>
    <w:rsid w:val="000E5EE6"/>
    <w:rsid w:val="0010182E"/>
    <w:rsid w:val="00107F5A"/>
    <w:rsid w:val="00111380"/>
    <w:rsid w:val="00121B60"/>
    <w:rsid w:val="0012588B"/>
    <w:rsid w:val="00143126"/>
    <w:rsid w:val="001544BE"/>
    <w:rsid w:val="00155C89"/>
    <w:rsid w:val="001568F1"/>
    <w:rsid w:val="0016072D"/>
    <w:rsid w:val="001732E3"/>
    <w:rsid w:val="001801D1"/>
    <w:rsid w:val="00180FE5"/>
    <w:rsid w:val="00183846"/>
    <w:rsid w:val="001855FF"/>
    <w:rsid w:val="00186CAA"/>
    <w:rsid w:val="00192335"/>
    <w:rsid w:val="00193AAC"/>
    <w:rsid w:val="00197E86"/>
    <w:rsid w:val="001A492A"/>
    <w:rsid w:val="001A5978"/>
    <w:rsid w:val="001B2D3E"/>
    <w:rsid w:val="001B35CC"/>
    <w:rsid w:val="001B44F5"/>
    <w:rsid w:val="001B50F1"/>
    <w:rsid w:val="001C0803"/>
    <w:rsid w:val="001C4191"/>
    <w:rsid w:val="001C664A"/>
    <w:rsid w:val="001D504E"/>
    <w:rsid w:val="001E01C2"/>
    <w:rsid w:val="001E0731"/>
    <w:rsid w:val="001E33D9"/>
    <w:rsid w:val="001E5577"/>
    <w:rsid w:val="001E5A57"/>
    <w:rsid w:val="001E7F12"/>
    <w:rsid w:val="001F0106"/>
    <w:rsid w:val="00200765"/>
    <w:rsid w:val="0020241E"/>
    <w:rsid w:val="0021191B"/>
    <w:rsid w:val="00223949"/>
    <w:rsid w:val="00223B91"/>
    <w:rsid w:val="002244B2"/>
    <w:rsid w:val="002330F5"/>
    <w:rsid w:val="0023423F"/>
    <w:rsid w:val="00237F50"/>
    <w:rsid w:val="002479CC"/>
    <w:rsid w:val="002503F3"/>
    <w:rsid w:val="002506D2"/>
    <w:rsid w:val="00253690"/>
    <w:rsid w:val="00254EF3"/>
    <w:rsid w:val="00256361"/>
    <w:rsid w:val="00263CDC"/>
    <w:rsid w:val="00265C4B"/>
    <w:rsid w:val="002670AC"/>
    <w:rsid w:val="00281923"/>
    <w:rsid w:val="002968A5"/>
    <w:rsid w:val="002B2FF6"/>
    <w:rsid w:val="002B7BDA"/>
    <w:rsid w:val="002C18EE"/>
    <w:rsid w:val="002C5C3E"/>
    <w:rsid w:val="002D2739"/>
    <w:rsid w:val="002E61BE"/>
    <w:rsid w:val="002F19B1"/>
    <w:rsid w:val="002F3245"/>
    <w:rsid w:val="00303999"/>
    <w:rsid w:val="00306B96"/>
    <w:rsid w:val="00310216"/>
    <w:rsid w:val="00314889"/>
    <w:rsid w:val="003244A9"/>
    <w:rsid w:val="003263AC"/>
    <w:rsid w:val="00332FF8"/>
    <w:rsid w:val="0033462A"/>
    <w:rsid w:val="003363F8"/>
    <w:rsid w:val="00341B67"/>
    <w:rsid w:val="00342235"/>
    <w:rsid w:val="0034778D"/>
    <w:rsid w:val="00357315"/>
    <w:rsid w:val="0037033D"/>
    <w:rsid w:val="00372C23"/>
    <w:rsid w:val="00374C63"/>
    <w:rsid w:val="0037599B"/>
    <w:rsid w:val="00376572"/>
    <w:rsid w:val="0038078D"/>
    <w:rsid w:val="00386E43"/>
    <w:rsid w:val="003A2066"/>
    <w:rsid w:val="003A23CA"/>
    <w:rsid w:val="003A6AB7"/>
    <w:rsid w:val="003B17E3"/>
    <w:rsid w:val="003B3407"/>
    <w:rsid w:val="003C0F8E"/>
    <w:rsid w:val="003C1E63"/>
    <w:rsid w:val="003C77BF"/>
    <w:rsid w:val="003D1F1D"/>
    <w:rsid w:val="003F485D"/>
    <w:rsid w:val="00402C9F"/>
    <w:rsid w:val="00405070"/>
    <w:rsid w:val="004209FE"/>
    <w:rsid w:val="00422824"/>
    <w:rsid w:val="004301AB"/>
    <w:rsid w:val="00430A25"/>
    <w:rsid w:val="00432C6D"/>
    <w:rsid w:val="004371E8"/>
    <w:rsid w:val="00443519"/>
    <w:rsid w:val="00451C16"/>
    <w:rsid w:val="00452E47"/>
    <w:rsid w:val="004552B9"/>
    <w:rsid w:val="00460526"/>
    <w:rsid w:val="00462F0E"/>
    <w:rsid w:val="004664D7"/>
    <w:rsid w:val="00467EEC"/>
    <w:rsid w:val="00477DD2"/>
    <w:rsid w:val="00485B9E"/>
    <w:rsid w:val="00485DA5"/>
    <w:rsid w:val="00486ABC"/>
    <w:rsid w:val="00497ABA"/>
    <w:rsid w:val="004A3943"/>
    <w:rsid w:val="004A5383"/>
    <w:rsid w:val="004A5632"/>
    <w:rsid w:val="004A58C3"/>
    <w:rsid w:val="004B263C"/>
    <w:rsid w:val="004B34F9"/>
    <w:rsid w:val="004B447D"/>
    <w:rsid w:val="004B7B3B"/>
    <w:rsid w:val="004C35A6"/>
    <w:rsid w:val="004C5B51"/>
    <w:rsid w:val="004C723B"/>
    <w:rsid w:val="004C7606"/>
    <w:rsid w:val="004D40E1"/>
    <w:rsid w:val="004D67DD"/>
    <w:rsid w:val="004D69CF"/>
    <w:rsid w:val="004D6D95"/>
    <w:rsid w:val="004E0736"/>
    <w:rsid w:val="004E0E12"/>
    <w:rsid w:val="004E42DD"/>
    <w:rsid w:val="004E550E"/>
    <w:rsid w:val="00501655"/>
    <w:rsid w:val="0050419B"/>
    <w:rsid w:val="00507E3A"/>
    <w:rsid w:val="00517F73"/>
    <w:rsid w:val="00520011"/>
    <w:rsid w:val="00521891"/>
    <w:rsid w:val="00523C2A"/>
    <w:rsid w:val="00533FF6"/>
    <w:rsid w:val="00541EB4"/>
    <w:rsid w:val="005564BE"/>
    <w:rsid w:val="005675DF"/>
    <w:rsid w:val="00570141"/>
    <w:rsid w:val="0057103E"/>
    <w:rsid w:val="00571515"/>
    <w:rsid w:val="00573CE8"/>
    <w:rsid w:val="005802DB"/>
    <w:rsid w:val="00584E72"/>
    <w:rsid w:val="00584EFD"/>
    <w:rsid w:val="00592202"/>
    <w:rsid w:val="005A4058"/>
    <w:rsid w:val="005B609C"/>
    <w:rsid w:val="005C1ABA"/>
    <w:rsid w:val="005C536C"/>
    <w:rsid w:val="005C5927"/>
    <w:rsid w:val="005C5F1C"/>
    <w:rsid w:val="005C7518"/>
    <w:rsid w:val="005C7670"/>
    <w:rsid w:val="005D0DFE"/>
    <w:rsid w:val="005E305A"/>
    <w:rsid w:val="005E4E07"/>
    <w:rsid w:val="005F1BF9"/>
    <w:rsid w:val="005F67E4"/>
    <w:rsid w:val="00601B8C"/>
    <w:rsid w:val="00611E2F"/>
    <w:rsid w:val="00616118"/>
    <w:rsid w:val="0063053D"/>
    <w:rsid w:val="0063302B"/>
    <w:rsid w:val="0064571F"/>
    <w:rsid w:val="00646C49"/>
    <w:rsid w:val="0065164B"/>
    <w:rsid w:val="00651F5D"/>
    <w:rsid w:val="00656578"/>
    <w:rsid w:val="00662CCA"/>
    <w:rsid w:val="00675A9D"/>
    <w:rsid w:val="00692D26"/>
    <w:rsid w:val="00696CE7"/>
    <w:rsid w:val="00697A05"/>
    <w:rsid w:val="006A0880"/>
    <w:rsid w:val="006A2018"/>
    <w:rsid w:val="006A5619"/>
    <w:rsid w:val="006A7EE5"/>
    <w:rsid w:val="006B178C"/>
    <w:rsid w:val="006B1A41"/>
    <w:rsid w:val="006B2444"/>
    <w:rsid w:val="006B6D53"/>
    <w:rsid w:val="006C5634"/>
    <w:rsid w:val="006D6987"/>
    <w:rsid w:val="006E086D"/>
    <w:rsid w:val="00710FAE"/>
    <w:rsid w:val="00713535"/>
    <w:rsid w:val="007323D4"/>
    <w:rsid w:val="0073295E"/>
    <w:rsid w:val="00741740"/>
    <w:rsid w:val="00743E32"/>
    <w:rsid w:val="007465F0"/>
    <w:rsid w:val="00751C69"/>
    <w:rsid w:val="007542BD"/>
    <w:rsid w:val="00763A37"/>
    <w:rsid w:val="00765C26"/>
    <w:rsid w:val="007679D8"/>
    <w:rsid w:val="00771CEF"/>
    <w:rsid w:val="00777B88"/>
    <w:rsid w:val="00785254"/>
    <w:rsid w:val="00787461"/>
    <w:rsid w:val="00792E84"/>
    <w:rsid w:val="0079332F"/>
    <w:rsid w:val="00795D6C"/>
    <w:rsid w:val="007B1031"/>
    <w:rsid w:val="007B3923"/>
    <w:rsid w:val="007B5CEC"/>
    <w:rsid w:val="007C2D7D"/>
    <w:rsid w:val="007C33DE"/>
    <w:rsid w:val="007C5EAF"/>
    <w:rsid w:val="007C7444"/>
    <w:rsid w:val="007D7A93"/>
    <w:rsid w:val="007E0365"/>
    <w:rsid w:val="007E125C"/>
    <w:rsid w:val="007E1B9A"/>
    <w:rsid w:val="007E58DE"/>
    <w:rsid w:val="007E619A"/>
    <w:rsid w:val="007F00B4"/>
    <w:rsid w:val="007F2F22"/>
    <w:rsid w:val="00800BFD"/>
    <w:rsid w:val="00806C8B"/>
    <w:rsid w:val="00810AC6"/>
    <w:rsid w:val="00812EEC"/>
    <w:rsid w:val="00817CFE"/>
    <w:rsid w:val="00821792"/>
    <w:rsid w:val="00826633"/>
    <w:rsid w:val="0083299B"/>
    <w:rsid w:val="00833446"/>
    <w:rsid w:val="00842D61"/>
    <w:rsid w:val="00843D88"/>
    <w:rsid w:val="00854951"/>
    <w:rsid w:val="008561A9"/>
    <w:rsid w:val="00862C45"/>
    <w:rsid w:val="00864A84"/>
    <w:rsid w:val="00870905"/>
    <w:rsid w:val="0087517C"/>
    <w:rsid w:val="00877814"/>
    <w:rsid w:val="00897078"/>
    <w:rsid w:val="008A1254"/>
    <w:rsid w:val="008A4D59"/>
    <w:rsid w:val="008A7F34"/>
    <w:rsid w:val="008C3986"/>
    <w:rsid w:val="008D089C"/>
    <w:rsid w:val="008D79F4"/>
    <w:rsid w:val="008E05EA"/>
    <w:rsid w:val="008E0908"/>
    <w:rsid w:val="008E1791"/>
    <w:rsid w:val="008E2B36"/>
    <w:rsid w:val="008E6250"/>
    <w:rsid w:val="008E776D"/>
    <w:rsid w:val="008F0F0C"/>
    <w:rsid w:val="00903C34"/>
    <w:rsid w:val="00920580"/>
    <w:rsid w:val="00933DC8"/>
    <w:rsid w:val="00935C78"/>
    <w:rsid w:val="009411D1"/>
    <w:rsid w:val="00941EC7"/>
    <w:rsid w:val="00943FB7"/>
    <w:rsid w:val="00944022"/>
    <w:rsid w:val="00945849"/>
    <w:rsid w:val="0096076A"/>
    <w:rsid w:val="0096472A"/>
    <w:rsid w:val="00965560"/>
    <w:rsid w:val="00981020"/>
    <w:rsid w:val="0098339C"/>
    <w:rsid w:val="009929D0"/>
    <w:rsid w:val="009959EB"/>
    <w:rsid w:val="009B4D4D"/>
    <w:rsid w:val="009B61AD"/>
    <w:rsid w:val="009B72D7"/>
    <w:rsid w:val="009C3378"/>
    <w:rsid w:val="009C5C6D"/>
    <w:rsid w:val="009C7A5F"/>
    <w:rsid w:val="009D13C5"/>
    <w:rsid w:val="009D5ACB"/>
    <w:rsid w:val="009E12B2"/>
    <w:rsid w:val="009E2D37"/>
    <w:rsid w:val="009E2E5B"/>
    <w:rsid w:val="009E4EBA"/>
    <w:rsid w:val="009F50FF"/>
    <w:rsid w:val="009F6F3C"/>
    <w:rsid w:val="00A00A56"/>
    <w:rsid w:val="00A00E73"/>
    <w:rsid w:val="00A104E8"/>
    <w:rsid w:val="00A156AC"/>
    <w:rsid w:val="00A27E3E"/>
    <w:rsid w:val="00A313D7"/>
    <w:rsid w:val="00A35422"/>
    <w:rsid w:val="00A43503"/>
    <w:rsid w:val="00A44DA7"/>
    <w:rsid w:val="00A607E1"/>
    <w:rsid w:val="00A71C17"/>
    <w:rsid w:val="00A807A8"/>
    <w:rsid w:val="00A874DC"/>
    <w:rsid w:val="00A8774A"/>
    <w:rsid w:val="00A912BE"/>
    <w:rsid w:val="00A925CC"/>
    <w:rsid w:val="00A93FF8"/>
    <w:rsid w:val="00AA0031"/>
    <w:rsid w:val="00AA34CD"/>
    <w:rsid w:val="00AA3BBC"/>
    <w:rsid w:val="00AB2558"/>
    <w:rsid w:val="00AC2C21"/>
    <w:rsid w:val="00AC370A"/>
    <w:rsid w:val="00AC7582"/>
    <w:rsid w:val="00AD52A9"/>
    <w:rsid w:val="00AE3626"/>
    <w:rsid w:val="00AE48D9"/>
    <w:rsid w:val="00B000E1"/>
    <w:rsid w:val="00B05269"/>
    <w:rsid w:val="00B15D31"/>
    <w:rsid w:val="00B176ED"/>
    <w:rsid w:val="00B32B67"/>
    <w:rsid w:val="00B337C7"/>
    <w:rsid w:val="00B33F32"/>
    <w:rsid w:val="00B400F6"/>
    <w:rsid w:val="00B419C2"/>
    <w:rsid w:val="00B519E0"/>
    <w:rsid w:val="00B51EDF"/>
    <w:rsid w:val="00B52DE9"/>
    <w:rsid w:val="00B5781C"/>
    <w:rsid w:val="00B6042D"/>
    <w:rsid w:val="00B61597"/>
    <w:rsid w:val="00B6168F"/>
    <w:rsid w:val="00B64D82"/>
    <w:rsid w:val="00B67F7F"/>
    <w:rsid w:val="00B767AE"/>
    <w:rsid w:val="00B815FA"/>
    <w:rsid w:val="00B81812"/>
    <w:rsid w:val="00B92413"/>
    <w:rsid w:val="00B93C6A"/>
    <w:rsid w:val="00B93F8A"/>
    <w:rsid w:val="00B9470C"/>
    <w:rsid w:val="00BA1900"/>
    <w:rsid w:val="00BA2179"/>
    <w:rsid w:val="00BA4C45"/>
    <w:rsid w:val="00BB7DAA"/>
    <w:rsid w:val="00BD125F"/>
    <w:rsid w:val="00BD4741"/>
    <w:rsid w:val="00BE229B"/>
    <w:rsid w:val="00BE274A"/>
    <w:rsid w:val="00BF277A"/>
    <w:rsid w:val="00BF68EC"/>
    <w:rsid w:val="00BF76F1"/>
    <w:rsid w:val="00C04959"/>
    <w:rsid w:val="00C13655"/>
    <w:rsid w:val="00C1370A"/>
    <w:rsid w:val="00C160B2"/>
    <w:rsid w:val="00C161A9"/>
    <w:rsid w:val="00C168B4"/>
    <w:rsid w:val="00C21367"/>
    <w:rsid w:val="00C26F14"/>
    <w:rsid w:val="00C27A1A"/>
    <w:rsid w:val="00C27EE8"/>
    <w:rsid w:val="00C31D96"/>
    <w:rsid w:val="00C37689"/>
    <w:rsid w:val="00C43DBE"/>
    <w:rsid w:val="00C56141"/>
    <w:rsid w:val="00C57DC3"/>
    <w:rsid w:val="00C60735"/>
    <w:rsid w:val="00C6343D"/>
    <w:rsid w:val="00C646D1"/>
    <w:rsid w:val="00C700B0"/>
    <w:rsid w:val="00C72397"/>
    <w:rsid w:val="00C81A47"/>
    <w:rsid w:val="00C85CF1"/>
    <w:rsid w:val="00C86F7F"/>
    <w:rsid w:val="00CA03D2"/>
    <w:rsid w:val="00CA1CB0"/>
    <w:rsid w:val="00CB18D8"/>
    <w:rsid w:val="00CB4161"/>
    <w:rsid w:val="00CC0F4E"/>
    <w:rsid w:val="00CC1314"/>
    <w:rsid w:val="00CC51C5"/>
    <w:rsid w:val="00CC53F7"/>
    <w:rsid w:val="00CC6E95"/>
    <w:rsid w:val="00CC74FB"/>
    <w:rsid w:val="00CD2331"/>
    <w:rsid w:val="00CD3BA3"/>
    <w:rsid w:val="00CE170C"/>
    <w:rsid w:val="00D0068F"/>
    <w:rsid w:val="00D11A95"/>
    <w:rsid w:val="00D12409"/>
    <w:rsid w:val="00D162B5"/>
    <w:rsid w:val="00D175ED"/>
    <w:rsid w:val="00D24BC6"/>
    <w:rsid w:val="00D27313"/>
    <w:rsid w:val="00D32BD4"/>
    <w:rsid w:val="00D43033"/>
    <w:rsid w:val="00D440F8"/>
    <w:rsid w:val="00D620D0"/>
    <w:rsid w:val="00D67AB7"/>
    <w:rsid w:val="00D70522"/>
    <w:rsid w:val="00D748E0"/>
    <w:rsid w:val="00D83722"/>
    <w:rsid w:val="00D851B9"/>
    <w:rsid w:val="00D85F4B"/>
    <w:rsid w:val="00D961DE"/>
    <w:rsid w:val="00DA58A2"/>
    <w:rsid w:val="00DB08B5"/>
    <w:rsid w:val="00DB154B"/>
    <w:rsid w:val="00DB1B5F"/>
    <w:rsid w:val="00DB3632"/>
    <w:rsid w:val="00DB3C10"/>
    <w:rsid w:val="00DB58F5"/>
    <w:rsid w:val="00DB5CDB"/>
    <w:rsid w:val="00DC2C9D"/>
    <w:rsid w:val="00DC34E7"/>
    <w:rsid w:val="00DE121B"/>
    <w:rsid w:val="00DE2011"/>
    <w:rsid w:val="00DE45E9"/>
    <w:rsid w:val="00DE4B73"/>
    <w:rsid w:val="00DE72BD"/>
    <w:rsid w:val="00DF1D50"/>
    <w:rsid w:val="00DF7FEA"/>
    <w:rsid w:val="00E0645E"/>
    <w:rsid w:val="00E06748"/>
    <w:rsid w:val="00E15929"/>
    <w:rsid w:val="00E26F5E"/>
    <w:rsid w:val="00E34B27"/>
    <w:rsid w:val="00E431A1"/>
    <w:rsid w:val="00E56CC2"/>
    <w:rsid w:val="00E5722B"/>
    <w:rsid w:val="00E62184"/>
    <w:rsid w:val="00E72A2E"/>
    <w:rsid w:val="00E7411B"/>
    <w:rsid w:val="00E7723A"/>
    <w:rsid w:val="00E86111"/>
    <w:rsid w:val="00E92A1D"/>
    <w:rsid w:val="00E93169"/>
    <w:rsid w:val="00EA4441"/>
    <w:rsid w:val="00EA4AD4"/>
    <w:rsid w:val="00EA7B13"/>
    <w:rsid w:val="00EB3851"/>
    <w:rsid w:val="00EB6A64"/>
    <w:rsid w:val="00EC0658"/>
    <w:rsid w:val="00EC4E46"/>
    <w:rsid w:val="00ED4513"/>
    <w:rsid w:val="00ED79E6"/>
    <w:rsid w:val="00EE3F91"/>
    <w:rsid w:val="00EE7052"/>
    <w:rsid w:val="00EE784F"/>
    <w:rsid w:val="00EF1BC6"/>
    <w:rsid w:val="00EF465F"/>
    <w:rsid w:val="00F03EFB"/>
    <w:rsid w:val="00F0754C"/>
    <w:rsid w:val="00F07999"/>
    <w:rsid w:val="00F17162"/>
    <w:rsid w:val="00F426AA"/>
    <w:rsid w:val="00F47C07"/>
    <w:rsid w:val="00F56A97"/>
    <w:rsid w:val="00F57C80"/>
    <w:rsid w:val="00F57DFF"/>
    <w:rsid w:val="00F60A53"/>
    <w:rsid w:val="00F61D07"/>
    <w:rsid w:val="00F6431B"/>
    <w:rsid w:val="00F70B17"/>
    <w:rsid w:val="00F70E87"/>
    <w:rsid w:val="00F77056"/>
    <w:rsid w:val="00F90C20"/>
    <w:rsid w:val="00F948DD"/>
    <w:rsid w:val="00FA623C"/>
    <w:rsid w:val="00FB1216"/>
    <w:rsid w:val="00FB4BEF"/>
    <w:rsid w:val="00FB551B"/>
    <w:rsid w:val="00FC2768"/>
    <w:rsid w:val="00FC6058"/>
    <w:rsid w:val="00FD7BF5"/>
    <w:rsid w:val="00FE4BC9"/>
    <w:rsid w:val="00FE6B38"/>
    <w:rsid w:val="00FF049E"/>
    <w:rsid w:val="00FF4D33"/>
    <w:rsid w:val="00FF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7D1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929"/>
    <w:rPr>
      <w:sz w:val="24"/>
      <w:szCs w:val="24"/>
    </w:rPr>
  </w:style>
  <w:style w:type="paragraph" w:styleId="Heading1">
    <w:name w:val="heading 1"/>
    <w:basedOn w:val="Normal"/>
    <w:next w:val="Normal"/>
    <w:qFormat/>
    <w:rsid w:val="00ED4513"/>
    <w:pPr>
      <w:keepNext/>
      <w:outlineLvl w:val="0"/>
    </w:pPr>
    <w:rPr>
      <w:b/>
      <w:iCs/>
      <w:u w:val="single"/>
    </w:rPr>
  </w:style>
  <w:style w:type="paragraph" w:styleId="Heading2">
    <w:name w:val="heading 2"/>
    <w:basedOn w:val="Normal"/>
    <w:next w:val="Normal"/>
    <w:link w:val="Heading2Char"/>
    <w:unhideWhenUsed/>
    <w:qFormat/>
    <w:rsid w:val="00F0754C"/>
    <w:pPr>
      <w:keepNext/>
      <w:keepLines/>
      <w:numPr>
        <w:ilvl w:val="1"/>
        <w:numId w:val="8"/>
      </w:numPr>
      <w:spacing w:before="40"/>
      <w:outlineLvl w:val="1"/>
    </w:pPr>
    <w:rPr>
      <w:rFonts w:eastAsiaTheme="majorEastAsia" w:cstheme="majorBidi"/>
      <w:b/>
      <w:bCs/>
      <w:color w:val="000000" w:themeColor="text1"/>
      <w:szCs w:val="26"/>
    </w:rPr>
  </w:style>
  <w:style w:type="paragraph" w:styleId="Heading3">
    <w:name w:val="heading 3"/>
    <w:basedOn w:val="Normal"/>
    <w:next w:val="Normal"/>
    <w:link w:val="Heading3Char"/>
    <w:semiHidden/>
    <w:unhideWhenUsed/>
    <w:qFormat/>
    <w:rsid w:val="00ED4513"/>
    <w:pPr>
      <w:keepNext/>
      <w:keepLines/>
      <w:numPr>
        <w:ilvl w:val="2"/>
        <w:numId w:val="8"/>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ED4513"/>
    <w:pPr>
      <w:keepNext/>
      <w:keepLines/>
      <w:numPr>
        <w:ilvl w:val="3"/>
        <w:numId w:val="8"/>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D4513"/>
    <w:pPr>
      <w:keepNext/>
      <w:keepLines/>
      <w:numPr>
        <w:ilvl w:val="4"/>
        <w:numId w:val="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D4513"/>
    <w:pPr>
      <w:keepNext/>
      <w:keepLines/>
      <w:numPr>
        <w:ilvl w:val="5"/>
        <w:numId w:val="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D4513"/>
    <w:pPr>
      <w:keepNext/>
      <w:keepLines/>
      <w:numPr>
        <w:ilvl w:val="6"/>
        <w:numId w:val="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D4513"/>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D4513"/>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EC4E46"/>
    <w:pPr>
      <w:ind w:left="720"/>
      <w:contextualSpacing/>
    </w:pPr>
  </w:style>
  <w:style w:type="paragraph" w:styleId="FootnoteText">
    <w:name w:val="footnote text"/>
    <w:basedOn w:val="Normal"/>
    <w:link w:val="FootnoteTextChar"/>
    <w:rsid w:val="000D7B47"/>
    <w:rPr>
      <w:sz w:val="20"/>
      <w:szCs w:val="20"/>
    </w:rPr>
  </w:style>
  <w:style w:type="character" w:customStyle="1" w:styleId="FootnoteTextChar">
    <w:name w:val="Footnote Text Char"/>
    <w:basedOn w:val="DefaultParagraphFont"/>
    <w:link w:val="FootnoteText"/>
    <w:rsid w:val="000D7B47"/>
  </w:style>
  <w:style w:type="character" w:styleId="FootnoteReference">
    <w:name w:val="footnote reference"/>
    <w:basedOn w:val="DefaultParagraphFont"/>
    <w:rsid w:val="000D7B47"/>
    <w:rPr>
      <w:vertAlign w:val="superscript"/>
    </w:rPr>
  </w:style>
  <w:style w:type="character" w:customStyle="1" w:styleId="FooterChar">
    <w:name w:val="Footer Char"/>
    <w:basedOn w:val="DefaultParagraphFont"/>
    <w:link w:val="Footer"/>
    <w:uiPriority w:val="99"/>
    <w:rsid w:val="008E6250"/>
    <w:rPr>
      <w:sz w:val="24"/>
      <w:szCs w:val="24"/>
    </w:rPr>
  </w:style>
  <w:style w:type="character" w:styleId="Hyperlink">
    <w:name w:val="Hyperlink"/>
    <w:basedOn w:val="DefaultParagraphFont"/>
    <w:uiPriority w:val="99"/>
    <w:rsid w:val="000D5B92"/>
    <w:rPr>
      <w:color w:val="0000FF" w:themeColor="hyperlink"/>
      <w:u w:val="single"/>
    </w:rPr>
  </w:style>
  <w:style w:type="paragraph" w:styleId="BalloonText">
    <w:name w:val="Balloon Text"/>
    <w:basedOn w:val="Normal"/>
    <w:link w:val="BalloonTextChar"/>
    <w:rsid w:val="001C664A"/>
    <w:rPr>
      <w:rFonts w:ascii="Tahoma" w:hAnsi="Tahoma" w:cs="Tahoma"/>
      <w:sz w:val="16"/>
      <w:szCs w:val="16"/>
    </w:rPr>
  </w:style>
  <w:style w:type="character" w:customStyle="1" w:styleId="BalloonTextChar">
    <w:name w:val="Balloon Text Char"/>
    <w:basedOn w:val="DefaultParagraphFont"/>
    <w:link w:val="BalloonText"/>
    <w:rsid w:val="001C664A"/>
    <w:rPr>
      <w:rFonts w:ascii="Tahoma" w:hAnsi="Tahoma" w:cs="Tahoma"/>
      <w:sz w:val="16"/>
      <w:szCs w:val="16"/>
    </w:rPr>
  </w:style>
  <w:style w:type="paragraph" w:styleId="Caption">
    <w:name w:val="caption"/>
    <w:basedOn w:val="Normal"/>
    <w:next w:val="Normal"/>
    <w:unhideWhenUsed/>
    <w:qFormat/>
    <w:rsid w:val="00E06748"/>
    <w:pPr>
      <w:spacing w:after="200"/>
    </w:pPr>
    <w:rPr>
      <w:i/>
      <w:iCs/>
      <w:color w:val="1F497D" w:themeColor="text2"/>
      <w:sz w:val="18"/>
      <w:szCs w:val="18"/>
    </w:rPr>
  </w:style>
  <w:style w:type="character" w:customStyle="1" w:styleId="Heading2Char">
    <w:name w:val="Heading 2 Char"/>
    <w:basedOn w:val="DefaultParagraphFont"/>
    <w:link w:val="Heading2"/>
    <w:rsid w:val="00F0754C"/>
    <w:rPr>
      <w:rFonts w:eastAsiaTheme="majorEastAsia" w:cstheme="majorBidi"/>
      <w:b/>
      <w:bCs/>
      <w:color w:val="000000" w:themeColor="text1"/>
      <w:sz w:val="24"/>
      <w:szCs w:val="26"/>
    </w:rPr>
  </w:style>
  <w:style w:type="character" w:customStyle="1" w:styleId="Heading3Char">
    <w:name w:val="Heading 3 Char"/>
    <w:basedOn w:val="DefaultParagraphFont"/>
    <w:link w:val="Heading3"/>
    <w:semiHidden/>
    <w:rsid w:val="00ED451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ED451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ED4513"/>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ED4513"/>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ED4513"/>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ED451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D4513"/>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ED4513"/>
    <w:pPr>
      <w:keepLines/>
      <w:spacing w:before="240" w:line="259" w:lineRule="auto"/>
      <w:outlineLvl w:val="9"/>
    </w:pPr>
    <w:rPr>
      <w:rFonts w:asciiTheme="majorHAnsi" w:eastAsiaTheme="majorEastAsia" w:hAnsiTheme="majorHAnsi" w:cstheme="majorBidi"/>
      <w:b w:val="0"/>
      <w:iCs w:val="0"/>
      <w:color w:val="365F91" w:themeColor="accent1" w:themeShade="BF"/>
      <w:sz w:val="32"/>
      <w:szCs w:val="32"/>
      <w:u w:val="none"/>
    </w:rPr>
  </w:style>
  <w:style w:type="paragraph" w:styleId="TOC1">
    <w:name w:val="toc 1"/>
    <w:basedOn w:val="Normal"/>
    <w:next w:val="Normal"/>
    <w:autoRedefine/>
    <w:uiPriority w:val="39"/>
    <w:unhideWhenUsed/>
    <w:rsid w:val="00ED4513"/>
    <w:pPr>
      <w:spacing w:after="100"/>
    </w:pPr>
  </w:style>
  <w:style w:type="paragraph" w:styleId="TOC2">
    <w:name w:val="toc 2"/>
    <w:basedOn w:val="Normal"/>
    <w:next w:val="Normal"/>
    <w:autoRedefine/>
    <w:uiPriority w:val="39"/>
    <w:unhideWhenUsed/>
    <w:rsid w:val="00ED4513"/>
    <w:pPr>
      <w:spacing w:after="100"/>
      <w:ind w:left="240"/>
    </w:pPr>
  </w:style>
  <w:style w:type="paragraph" w:styleId="DocumentMap">
    <w:name w:val="Document Map"/>
    <w:basedOn w:val="Normal"/>
    <w:link w:val="DocumentMapChar"/>
    <w:semiHidden/>
    <w:unhideWhenUsed/>
    <w:rsid w:val="00843D88"/>
  </w:style>
  <w:style w:type="character" w:customStyle="1" w:styleId="DocumentMapChar">
    <w:name w:val="Document Map Char"/>
    <w:basedOn w:val="DefaultParagraphFont"/>
    <w:link w:val="DocumentMap"/>
    <w:semiHidden/>
    <w:rsid w:val="00843D88"/>
    <w:rPr>
      <w:sz w:val="24"/>
      <w:szCs w:val="24"/>
    </w:rPr>
  </w:style>
  <w:style w:type="character" w:styleId="FollowedHyperlink">
    <w:name w:val="FollowedHyperlink"/>
    <w:basedOn w:val="DefaultParagraphFont"/>
    <w:semiHidden/>
    <w:unhideWhenUsed/>
    <w:rsid w:val="008D79F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929"/>
    <w:rPr>
      <w:sz w:val="24"/>
      <w:szCs w:val="24"/>
    </w:rPr>
  </w:style>
  <w:style w:type="paragraph" w:styleId="Heading1">
    <w:name w:val="heading 1"/>
    <w:basedOn w:val="Normal"/>
    <w:next w:val="Normal"/>
    <w:qFormat/>
    <w:rsid w:val="00ED4513"/>
    <w:pPr>
      <w:keepNext/>
      <w:outlineLvl w:val="0"/>
    </w:pPr>
    <w:rPr>
      <w:b/>
      <w:iCs/>
      <w:u w:val="single"/>
    </w:rPr>
  </w:style>
  <w:style w:type="paragraph" w:styleId="Heading2">
    <w:name w:val="heading 2"/>
    <w:basedOn w:val="Normal"/>
    <w:next w:val="Normal"/>
    <w:link w:val="Heading2Char"/>
    <w:unhideWhenUsed/>
    <w:qFormat/>
    <w:rsid w:val="00F0754C"/>
    <w:pPr>
      <w:keepNext/>
      <w:keepLines/>
      <w:numPr>
        <w:ilvl w:val="1"/>
        <w:numId w:val="8"/>
      </w:numPr>
      <w:spacing w:before="40"/>
      <w:outlineLvl w:val="1"/>
    </w:pPr>
    <w:rPr>
      <w:rFonts w:eastAsiaTheme="majorEastAsia" w:cstheme="majorBidi"/>
      <w:b/>
      <w:bCs/>
      <w:color w:val="000000" w:themeColor="text1"/>
      <w:szCs w:val="26"/>
    </w:rPr>
  </w:style>
  <w:style w:type="paragraph" w:styleId="Heading3">
    <w:name w:val="heading 3"/>
    <w:basedOn w:val="Normal"/>
    <w:next w:val="Normal"/>
    <w:link w:val="Heading3Char"/>
    <w:semiHidden/>
    <w:unhideWhenUsed/>
    <w:qFormat/>
    <w:rsid w:val="00ED4513"/>
    <w:pPr>
      <w:keepNext/>
      <w:keepLines/>
      <w:numPr>
        <w:ilvl w:val="2"/>
        <w:numId w:val="8"/>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ED4513"/>
    <w:pPr>
      <w:keepNext/>
      <w:keepLines/>
      <w:numPr>
        <w:ilvl w:val="3"/>
        <w:numId w:val="8"/>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D4513"/>
    <w:pPr>
      <w:keepNext/>
      <w:keepLines/>
      <w:numPr>
        <w:ilvl w:val="4"/>
        <w:numId w:val="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D4513"/>
    <w:pPr>
      <w:keepNext/>
      <w:keepLines/>
      <w:numPr>
        <w:ilvl w:val="5"/>
        <w:numId w:val="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D4513"/>
    <w:pPr>
      <w:keepNext/>
      <w:keepLines/>
      <w:numPr>
        <w:ilvl w:val="6"/>
        <w:numId w:val="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D4513"/>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D4513"/>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EC4E46"/>
    <w:pPr>
      <w:ind w:left="720"/>
      <w:contextualSpacing/>
    </w:pPr>
  </w:style>
  <w:style w:type="paragraph" w:styleId="FootnoteText">
    <w:name w:val="footnote text"/>
    <w:basedOn w:val="Normal"/>
    <w:link w:val="FootnoteTextChar"/>
    <w:rsid w:val="000D7B47"/>
    <w:rPr>
      <w:sz w:val="20"/>
      <w:szCs w:val="20"/>
    </w:rPr>
  </w:style>
  <w:style w:type="character" w:customStyle="1" w:styleId="FootnoteTextChar">
    <w:name w:val="Footnote Text Char"/>
    <w:basedOn w:val="DefaultParagraphFont"/>
    <w:link w:val="FootnoteText"/>
    <w:rsid w:val="000D7B47"/>
  </w:style>
  <w:style w:type="character" w:styleId="FootnoteReference">
    <w:name w:val="footnote reference"/>
    <w:basedOn w:val="DefaultParagraphFont"/>
    <w:rsid w:val="000D7B47"/>
    <w:rPr>
      <w:vertAlign w:val="superscript"/>
    </w:rPr>
  </w:style>
  <w:style w:type="character" w:customStyle="1" w:styleId="FooterChar">
    <w:name w:val="Footer Char"/>
    <w:basedOn w:val="DefaultParagraphFont"/>
    <w:link w:val="Footer"/>
    <w:uiPriority w:val="99"/>
    <w:rsid w:val="008E6250"/>
    <w:rPr>
      <w:sz w:val="24"/>
      <w:szCs w:val="24"/>
    </w:rPr>
  </w:style>
  <w:style w:type="character" w:styleId="Hyperlink">
    <w:name w:val="Hyperlink"/>
    <w:basedOn w:val="DefaultParagraphFont"/>
    <w:uiPriority w:val="99"/>
    <w:rsid w:val="000D5B92"/>
    <w:rPr>
      <w:color w:val="0000FF" w:themeColor="hyperlink"/>
      <w:u w:val="single"/>
    </w:rPr>
  </w:style>
  <w:style w:type="paragraph" w:styleId="BalloonText">
    <w:name w:val="Balloon Text"/>
    <w:basedOn w:val="Normal"/>
    <w:link w:val="BalloonTextChar"/>
    <w:rsid w:val="001C664A"/>
    <w:rPr>
      <w:rFonts w:ascii="Tahoma" w:hAnsi="Tahoma" w:cs="Tahoma"/>
      <w:sz w:val="16"/>
      <w:szCs w:val="16"/>
    </w:rPr>
  </w:style>
  <w:style w:type="character" w:customStyle="1" w:styleId="BalloonTextChar">
    <w:name w:val="Balloon Text Char"/>
    <w:basedOn w:val="DefaultParagraphFont"/>
    <w:link w:val="BalloonText"/>
    <w:rsid w:val="001C664A"/>
    <w:rPr>
      <w:rFonts w:ascii="Tahoma" w:hAnsi="Tahoma" w:cs="Tahoma"/>
      <w:sz w:val="16"/>
      <w:szCs w:val="16"/>
    </w:rPr>
  </w:style>
  <w:style w:type="paragraph" w:styleId="Caption">
    <w:name w:val="caption"/>
    <w:basedOn w:val="Normal"/>
    <w:next w:val="Normal"/>
    <w:unhideWhenUsed/>
    <w:qFormat/>
    <w:rsid w:val="00E06748"/>
    <w:pPr>
      <w:spacing w:after="200"/>
    </w:pPr>
    <w:rPr>
      <w:i/>
      <w:iCs/>
      <w:color w:val="1F497D" w:themeColor="text2"/>
      <w:sz w:val="18"/>
      <w:szCs w:val="18"/>
    </w:rPr>
  </w:style>
  <w:style w:type="character" w:customStyle="1" w:styleId="Heading2Char">
    <w:name w:val="Heading 2 Char"/>
    <w:basedOn w:val="DefaultParagraphFont"/>
    <w:link w:val="Heading2"/>
    <w:rsid w:val="00F0754C"/>
    <w:rPr>
      <w:rFonts w:eastAsiaTheme="majorEastAsia" w:cstheme="majorBidi"/>
      <w:b/>
      <w:bCs/>
      <w:color w:val="000000" w:themeColor="text1"/>
      <w:sz w:val="24"/>
      <w:szCs w:val="26"/>
    </w:rPr>
  </w:style>
  <w:style w:type="character" w:customStyle="1" w:styleId="Heading3Char">
    <w:name w:val="Heading 3 Char"/>
    <w:basedOn w:val="DefaultParagraphFont"/>
    <w:link w:val="Heading3"/>
    <w:semiHidden/>
    <w:rsid w:val="00ED451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ED451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ED4513"/>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ED4513"/>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ED4513"/>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ED451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D4513"/>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ED4513"/>
    <w:pPr>
      <w:keepLines/>
      <w:spacing w:before="240" w:line="259" w:lineRule="auto"/>
      <w:outlineLvl w:val="9"/>
    </w:pPr>
    <w:rPr>
      <w:rFonts w:asciiTheme="majorHAnsi" w:eastAsiaTheme="majorEastAsia" w:hAnsiTheme="majorHAnsi" w:cstheme="majorBidi"/>
      <w:b w:val="0"/>
      <w:iCs w:val="0"/>
      <w:color w:val="365F91" w:themeColor="accent1" w:themeShade="BF"/>
      <w:sz w:val="32"/>
      <w:szCs w:val="32"/>
      <w:u w:val="none"/>
    </w:rPr>
  </w:style>
  <w:style w:type="paragraph" w:styleId="TOC1">
    <w:name w:val="toc 1"/>
    <w:basedOn w:val="Normal"/>
    <w:next w:val="Normal"/>
    <w:autoRedefine/>
    <w:uiPriority w:val="39"/>
    <w:unhideWhenUsed/>
    <w:rsid w:val="00ED4513"/>
    <w:pPr>
      <w:spacing w:after="100"/>
    </w:pPr>
  </w:style>
  <w:style w:type="paragraph" w:styleId="TOC2">
    <w:name w:val="toc 2"/>
    <w:basedOn w:val="Normal"/>
    <w:next w:val="Normal"/>
    <w:autoRedefine/>
    <w:uiPriority w:val="39"/>
    <w:unhideWhenUsed/>
    <w:rsid w:val="00ED4513"/>
    <w:pPr>
      <w:spacing w:after="100"/>
      <w:ind w:left="240"/>
    </w:pPr>
  </w:style>
  <w:style w:type="paragraph" w:styleId="DocumentMap">
    <w:name w:val="Document Map"/>
    <w:basedOn w:val="Normal"/>
    <w:link w:val="DocumentMapChar"/>
    <w:semiHidden/>
    <w:unhideWhenUsed/>
    <w:rsid w:val="00843D88"/>
  </w:style>
  <w:style w:type="character" w:customStyle="1" w:styleId="DocumentMapChar">
    <w:name w:val="Document Map Char"/>
    <w:basedOn w:val="DefaultParagraphFont"/>
    <w:link w:val="DocumentMap"/>
    <w:semiHidden/>
    <w:rsid w:val="00843D88"/>
    <w:rPr>
      <w:sz w:val="24"/>
      <w:szCs w:val="24"/>
    </w:rPr>
  </w:style>
  <w:style w:type="character" w:styleId="FollowedHyperlink">
    <w:name w:val="FollowedHyperlink"/>
    <w:basedOn w:val="DefaultParagraphFont"/>
    <w:semiHidden/>
    <w:unhideWhenUsed/>
    <w:rsid w:val="008D7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6411">
      <w:bodyDiv w:val="1"/>
      <w:marLeft w:val="0"/>
      <w:marRight w:val="0"/>
      <w:marTop w:val="0"/>
      <w:marBottom w:val="0"/>
      <w:divBdr>
        <w:top w:val="none" w:sz="0" w:space="0" w:color="auto"/>
        <w:left w:val="none" w:sz="0" w:space="0" w:color="auto"/>
        <w:bottom w:val="none" w:sz="0" w:space="0" w:color="auto"/>
        <w:right w:val="none" w:sz="0" w:space="0" w:color="auto"/>
      </w:divBdr>
    </w:div>
    <w:div w:id="129517663">
      <w:bodyDiv w:val="1"/>
      <w:marLeft w:val="0"/>
      <w:marRight w:val="0"/>
      <w:marTop w:val="0"/>
      <w:marBottom w:val="0"/>
      <w:divBdr>
        <w:top w:val="none" w:sz="0" w:space="0" w:color="auto"/>
        <w:left w:val="none" w:sz="0" w:space="0" w:color="auto"/>
        <w:bottom w:val="none" w:sz="0" w:space="0" w:color="auto"/>
        <w:right w:val="none" w:sz="0" w:space="0" w:color="auto"/>
      </w:divBdr>
    </w:div>
    <w:div w:id="136533397">
      <w:bodyDiv w:val="1"/>
      <w:marLeft w:val="0"/>
      <w:marRight w:val="0"/>
      <w:marTop w:val="0"/>
      <w:marBottom w:val="0"/>
      <w:divBdr>
        <w:top w:val="none" w:sz="0" w:space="0" w:color="auto"/>
        <w:left w:val="none" w:sz="0" w:space="0" w:color="auto"/>
        <w:bottom w:val="none" w:sz="0" w:space="0" w:color="auto"/>
        <w:right w:val="none" w:sz="0" w:space="0" w:color="auto"/>
      </w:divBdr>
    </w:div>
    <w:div w:id="163012911">
      <w:bodyDiv w:val="1"/>
      <w:marLeft w:val="0"/>
      <w:marRight w:val="0"/>
      <w:marTop w:val="0"/>
      <w:marBottom w:val="0"/>
      <w:divBdr>
        <w:top w:val="none" w:sz="0" w:space="0" w:color="auto"/>
        <w:left w:val="none" w:sz="0" w:space="0" w:color="auto"/>
        <w:bottom w:val="none" w:sz="0" w:space="0" w:color="auto"/>
        <w:right w:val="none" w:sz="0" w:space="0" w:color="auto"/>
      </w:divBdr>
    </w:div>
    <w:div w:id="197208387">
      <w:bodyDiv w:val="1"/>
      <w:marLeft w:val="0"/>
      <w:marRight w:val="0"/>
      <w:marTop w:val="0"/>
      <w:marBottom w:val="0"/>
      <w:divBdr>
        <w:top w:val="none" w:sz="0" w:space="0" w:color="auto"/>
        <w:left w:val="none" w:sz="0" w:space="0" w:color="auto"/>
        <w:bottom w:val="none" w:sz="0" w:space="0" w:color="auto"/>
        <w:right w:val="none" w:sz="0" w:space="0" w:color="auto"/>
      </w:divBdr>
    </w:div>
    <w:div w:id="253787074">
      <w:bodyDiv w:val="1"/>
      <w:marLeft w:val="0"/>
      <w:marRight w:val="0"/>
      <w:marTop w:val="0"/>
      <w:marBottom w:val="0"/>
      <w:divBdr>
        <w:top w:val="none" w:sz="0" w:space="0" w:color="auto"/>
        <w:left w:val="none" w:sz="0" w:space="0" w:color="auto"/>
        <w:bottom w:val="none" w:sz="0" w:space="0" w:color="auto"/>
        <w:right w:val="none" w:sz="0" w:space="0" w:color="auto"/>
      </w:divBdr>
    </w:div>
    <w:div w:id="315962455">
      <w:bodyDiv w:val="1"/>
      <w:marLeft w:val="0"/>
      <w:marRight w:val="0"/>
      <w:marTop w:val="0"/>
      <w:marBottom w:val="0"/>
      <w:divBdr>
        <w:top w:val="none" w:sz="0" w:space="0" w:color="auto"/>
        <w:left w:val="none" w:sz="0" w:space="0" w:color="auto"/>
        <w:bottom w:val="none" w:sz="0" w:space="0" w:color="auto"/>
        <w:right w:val="none" w:sz="0" w:space="0" w:color="auto"/>
      </w:divBdr>
      <w:divsChild>
        <w:div w:id="989601239">
          <w:marLeft w:val="0"/>
          <w:marRight w:val="0"/>
          <w:marTop w:val="0"/>
          <w:marBottom w:val="0"/>
          <w:divBdr>
            <w:top w:val="none" w:sz="0" w:space="0" w:color="auto"/>
            <w:left w:val="none" w:sz="0" w:space="0" w:color="auto"/>
            <w:bottom w:val="none" w:sz="0" w:space="0" w:color="auto"/>
            <w:right w:val="none" w:sz="0" w:space="0" w:color="auto"/>
          </w:divBdr>
        </w:div>
        <w:div w:id="1365323230">
          <w:marLeft w:val="0"/>
          <w:marRight w:val="0"/>
          <w:marTop w:val="0"/>
          <w:marBottom w:val="0"/>
          <w:divBdr>
            <w:top w:val="none" w:sz="0" w:space="0" w:color="auto"/>
            <w:left w:val="none" w:sz="0" w:space="0" w:color="auto"/>
            <w:bottom w:val="none" w:sz="0" w:space="0" w:color="auto"/>
            <w:right w:val="none" w:sz="0" w:space="0" w:color="auto"/>
          </w:divBdr>
        </w:div>
        <w:div w:id="692653886">
          <w:marLeft w:val="0"/>
          <w:marRight w:val="0"/>
          <w:marTop w:val="0"/>
          <w:marBottom w:val="0"/>
          <w:divBdr>
            <w:top w:val="none" w:sz="0" w:space="0" w:color="auto"/>
            <w:left w:val="none" w:sz="0" w:space="0" w:color="auto"/>
            <w:bottom w:val="none" w:sz="0" w:space="0" w:color="auto"/>
            <w:right w:val="none" w:sz="0" w:space="0" w:color="auto"/>
          </w:divBdr>
        </w:div>
        <w:div w:id="1492745866">
          <w:marLeft w:val="0"/>
          <w:marRight w:val="0"/>
          <w:marTop w:val="0"/>
          <w:marBottom w:val="0"/>
          <w:divBdr>
            <w:top w:val="none" w:sz="0" w:space="0" w:color="auto"/>
            <w:left w:val="none" w:sz="0" w:space="0" w:color="auto"/>
            <w:bottom w:val="none" w:sz="0" w:space="0" w:color="auto"/>
            <w:right w:val="none" w:sz="0" w:space="0" w:color="auto"/>
          </w:divBdr>
        </w:div>
      </w:divsChild>
    </w:div>
    <w:div w:id="371422055">
      <w:bodyDiv w:val="1"/>
      <w:marLeft w:val="0"/>
      <w:marRight w:val="0"/>
      <w:marTop w:val="0"/>
      <w:marBottom w:val="0"/>
      <w:divBdr>
        <w:top w:val="none" w:sz="0" w:space="0" w:color="auto"/>
        <w:left w:val="none" w:sz="0" w:space="0" w:color="auto"/>
        <w:bottom w:val="none" w:sz="0" w:space="0" w:color="auto"/>
        <w:right w:val="none" w:sz="0" w:space="0" w:color="auto"/>
      </w:divBdr>
    </w:div>
    <w:div w:id="479150396">
      <w:bodyDiv w:val="1"/>
      <w:marLeft w:val="0"/>
      <w:marRight w:val="0"/>
      <w:marTop w:val="0"/>
      <w:marBottom w:val="0"/>
      <w:divBdr>
        <w:top w:val="none" w:sz="0" w:space="0" w:color="auto"/>
        <w:left w:val="none" w:sz="0" w:space="0" w:color="auto"/>
        <w:bottom w:val="none" w:sz="0" w:space="0" w:color="auto"/>
        <w:right w:val="none" w:sz="0" w:space="0" w:color="auto"/>
      </w:divBdr>
    </w:div>
    <w:div w:id="531112773">
      <w:bodyDiv w:val="1"/>
      <w:marLeft w:val="0"/>
      <w:marRight w:val="0"/>
      <w:marTop w:val="0"/>
      <w:marBottom w:val="0"/>
      <w:divBdr>
        <w:top w:val="none" w:sz="0" w:space="0" w:color="auto"/>
        <w:left w:val="none" w:sz="0" w:space="0" w:color="auto"/>
        <w:bottom w:val="none" w:sz="0" w:space="0" w:color="auto"/>
        <w:right w:val="none" w:sz="0" w:space="0" w:color="auto"/>
      </w:divBdr>
      <w:divsChild>
        <w:div w:id="1078820296">
          <w:marLeft w:val="0"/>
          <w:marRight w:val="0"/>
          <w:marTop w:val="0"/>
          <w:marBottom w:val="0"/>
          <w:divBdr>
            <w:top w:val="none" w:sz="0" w:space="0" w:color="auto"/>
            <w:left w:val="none" w:sz="0" w:space="0" w:color="auto"/>
            <w:bottom w:val="none" w:sz="0" w:space="0" w:color="auto"/>
            <w:right w:val="none" w:sz="0" w:space="0" w:color="auto"/>
          </w:divBdr>
        </w:div>
        <w:div w:id="315031905">
          <w:marLeft w:val="0"/>
          <w:marRight w:val="0"/>
          <w:marTop w:val="0"/>
          <w:marBottom w:val="0"/>
          <w:divBdr>
            <w:top w:val="none" w:sz="0" w:space="0" w:color="auto"/>
            <w:left w:val="none" w:sz="0" w:space="0" w:color="auto"/>
            <w:bottom w:val="none" w:sz="0" w:space="0" w:color="auto"/>
            <w:right w:val="none" w:sz="0" w:space="0" w:color="auto"/>
          </w:divBdr>
        </w:div>
        <w:div w:id="2113352976">
          <w:marLeft w:val="0"/>
          <w:marRight w:val="0"/>
          <w:marTop w:val="0"/>
          <w:marBottom w:val="0"/>
          <w:divBdr>
            <w:top w:val="none" w:sz="0" w:space="0" w:color="auto"/>
            <w:left w:val="none" w:sz="0" w:space="0" w:color="auto"/>
            <w:bottom w:val="none" w:sz="0" w:space="0" w:color="auto"/>
            <w:right w:val="none" w:sz="0" w:space="0" w:color="auto"/>
          </w:divBdr>
        </w:div>
        <w:div w:id="797799786">
          <w:marLeft w:val="0"/>
          <w:marRight w:val="0"/>
          <w:marTop w:val="0"/>
          <w:marBottom w:val="0"/>
          <w:divBdr>
            <w:top w:val="none" w:sz="0" w:space="0" w:color="auto"/>
            <w:left w:val="none" w:sz="0" w:space="0" w:color="auto"/>
            <w:bottom w:val="none" w:sz="0" w:space="0" w:color="auto"/>
            <w:right w:val="none" w:sz="0" w:space="0" w:color="auto"/>
          </w:divBdr>
        </w:div>
      </w:divsChild>
    </w:div>
    <w:div w:id="638539189">
      <w:bodyDiv w:val="1"/>
      <w:marLeft w:val="0"/>
      <w:marRight w:val="0"/>
      <w:marTop w:val="0"/>
      <w:marBottom w:val="0"/>
      <w:divBdr>
        <w:top w:val="none" w:sz="0" w:space="0" w:color="auto"/>
        <w:left w:val="none" w:sz="0" w:space="0" w:color="auto"/>
        <w:bottom w:val="none" w:sz="0" w:space="0" w:color="auto"/>
        <w:right w:val="none" w:sz="0" w:space="0" w:color="auto"/>
      </w:divBdr>
    </w:div>
    <w:div w:id="735132896">
      <w:bodyDiv w:val="1"/>
      <w:marLeft w:val="0"/>
      <w:marRight w:val="0"/>
      <w:marTop w:val="0"/>
      <w:marBottom w:val="0"/>
      <w:divBdr>
        <w:top w:val="none" w:sz="0" w:space="0" w:color="auto"/>
        <w:left w:val="none" w:sz="0" w:space="0" w:color="auto"/>
        <w:bottom w:val="none" w:sz="0" w:space="0" w:color="auto"/>
        <w:right w:val="none" w:sz="0" w:space="0" w:color="auto"/>
      </w:divBdr>
    </w:div>
    <w:div w:id="1380208453">
      <w:bodyDiv w:val="1"/>
      <w:marLeft w:val="0"/>
      <w:marRight w:val="0"/>
      <w:marTop w:val="0"/>
      <w:marBottom w:val="0"/>
      <w:divBdr>
        <w:top w:val="none" w:sz="0" w:space="0" w:color="auto"/>
        <w:left w:val="none" w:sz="0" w:space="0" w:color="auto"/>
        <w:bottom w:val="none" w:sz="0" w:space="0" w:color="auto"/>
        <w:right w:val="none" w:sz="0" w:space="0" w:color="auto"/>
      </w:divBdr>
    </w:div>
    <w:div w:id="1488590032">
      <w:bodyDiv w:val="1"/>
      <w:marLeft w:val="0"/>
      <w:marRight w:val="0"/>
      <w:marTop w:val="0"/>
      <w:marBottom w:val="0"/>
      <w:divBdr>
        <w:top w:val="none" w:sz="0" w:space="0" w:color="auto"/>
        <w:left w:val="none" w:sz="0" w:space="0" w:color="auto"/>
        <w:bottom w:val="none" w:sz="0" w:space="0" w:color="auto"/>
        <w:right w:val="none" w:sz="0" w:space="0" w:color="auto"/>
      </w:divBdr>
    </w:div>
    <w:div w:id="1501703022">
      <w:bodyDiv w:val="1"/>
      <w:marLeft w:val="0"/>
      <w:marRight w:val="0"/>
      <w:marTop w:val="0"/>
      <w:marBottom w:val="0"/>
      <w:divBdr>
        <w:top w:val="none" w:sz="0" w:space="0" w:color="auto"/>
        <w:left w:val="none" w:sz="0" w:space="0" w:color="auto"/>
        <w:bottom w:val="none" w:sz="0" w:space="0" w:color="auto"/>
        <w:right w:val="none" w:sz="0" w:space="0" w:color="auto"/>
      </w:divBdr>
    </w:div>
    <w:div w:id="1513449953">
      <w:bodyDiv w:val="1"/>
      <w:marLeft w:val="0"/>
      <w:marRight w:val="0"/>
      <w:marTop w:val="0"/>
      <w:marBottom w:val="0"/>
      <w:divBdr>
        <w:top w:val="none" w:sz="0" w:space="0" w:color="auto"/>
        <w:left w:val="none" w:sz="0" w:space="0" w:color="auto"/>
        <w:bottom w:val="none" w:sz="0" w:space="0" w:color="auto"/>
        <w:right w:val="none" w:sz="0" w:space="0" w:color="auto"/>
      </w:divBdr>
    </w:div>
    <w:div w:id="1516111076">
      <w:bodyDiv w:val="1"/>
      <w:marLeft w:val="0"/>
      <w:marRight w:val="0"/>
      <w:marTop w:val="0"/>
      <w:marBottom w:val="0"/>
      <w:divBdr>
        <w:top w:val="none" w:sz="0" w:space="0" w:color="auto"/>
        <w:left w:val="none" w:sz="0" w:space="0" w:color="auto"/>
        <w:bottom w:val="none" w:sz="0" w:space="0" w:color="auto"/>
        <w:right w:val="none" w:sz="0" w:space="0" w:color="auto"/>
      </w:divBdr>
    </w:div>
    <w:div w:id="1661304277">
      <w:bodyDiv w:val="1"/>
      <w:marLeft w:val="0"/>
      <w:marRight w:val="0"/>
      <w:marTop w:val="0"/>
      <w:marBottom w:val="0"/>
      <w:divBdr>
        <w:top w:val="none" w:sz="0" w:space="0" w:color="auto"/>
        <w:left w:val="none" w:sz="0" w:space="0" w:color="auto"/>
        <w:bottom w:val="none" w:sz="0" w:space="0" w:color="auto"/>
        <w:right w:val="none" w:sz="0" w:space="0" w:color="auto"/>
      </w:divBdr>
    </w:div>
    <w:div w:id="1745058652">
      <w:bodyDiv w:val="1"/>
      <w:marLeft w:val="0"/>
      <w:marRight w:val="0"/>
      <w:marTop w:val="0"/>
      <w:marBottom w:val="0"/>
      <w:divBdr>
        <w:top w:val="none" w:sz="0" w:space="0" w:color="auto"/>
        <w:left w:val="none" w:sz="0" w:space="0" w:color="auto"/>
        <w:bottom w:val="none" w:sz="0" w:space="0" w:color="auto"/>
        <w:right w:val="none" w:sz="0" w:space="0" w:color="auto"/>
      </w:divBdr>
    </w:div>
    <w:div w:id="1776899349">
      <w:bodyDiv w:val="1"/>
      <w:marLeft w:val="0"/>
      <w:marRight w:val="0"/>
      <w:marTop w:val="0"/>
      <w:marBottom w:val="0"/>
      <w:divBdr>
        <w:top w:val="none" w:sz="0" w:space="0" w:color="auto"/>
        <w:left w:val="none" w:sz="0" w:space="0" w:color="auto"/>
        <w:bottom w:val="none" w:sz="0" w:space="0" w:color="auto"/>
        <w:right w:val="none" w:sz="0" w:space="0" w:color="auto"/>
      </w:divBdr>
    </w:div>
    <w:div w:id="2103258332">
      <w:bodyDiv w:val="1"/>
      <w:marLeft w:val="0"/>
      <w:marRight w:val="0"/>
      <w:marTop w:val="0"/>
      <w:marBottom w:val="0"/>
      <w:divBdr>
        <w:top w:val="none" w:sz="0" w:space="0" w:color="auto"/>
        <w:left w:val="none" w:sz="0" w:space="0" w:color="auto"/>
        <w:bottom w:val="none" w:sz="0" w:space="0" w:color="auto"/>
        <w:right w:val="none" w:sz="0" w:space="0" w:color="auto"/>
      </w:divBdr>
    </w:div>
    <w:div w:id="2110276157">
      <w:bodyDiv w:val="1"/>
      <w:marLeft w:val="0"/>
      <w:marRight w:val="0"/>
      <w:marTop w:val="0"/>
      <w:marBottom w:val="0"/>
      <w:divBdr>
        <w:top w:val="none" w:sz="0" w:space="0" w:color="auto"/>
        <w:left w:val="none" w:sz="0" w:space="0" w:color="auto"/>
        <w:bottom w:val="none" w:sz="0" w:space="0" w:color="auto"/>
        <w:right w:val="none" w:sz="0" w:space="0" w:color="auto"/>
      </w:divBdr>
    </w:div>
    <w:div w:id="214284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3116A-02B0-784F-B894-8F50D5BC3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572</Words>
  <Characters>3265</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LIGO Lab</Company>
  <LinksUpToDate>false</LinksUpToDate>
  <CharactersWithSpaces>3830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O'Reilly</dc:creator>
  <cp:keywords/>
  <dc:description/>
  <cp:lastModifiedBy>Lisa Barsotti</cp:lastModifiedBy>
  <cp:revision>5</cp:revision>
  <cp:lastPrinted>2017-03-02T16:18:00Z</cp:lastPrinted>
  <dcterms:created xsi:type="dcterms:W3CDTF">2017-03-10T22:04:00Z</dcterms:created>
  <dcterms:modified xsi:type="dcterms:W3CDTF">2017-03-10T22:21:00Z</dcterms:modified>
  <cp:category/>
</cp:coreProperties>
</file>