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4D5BA5"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204F54">
        <w:t xml:space="preserve"> </w:t>
      </w:r>
      <w:r w:rsidR="00207FFB" w:rsidRPr="00207FFB">
        <w:t>E1600086</w:t>
      </w:r>
      <w:r w:rsidR="00F5292B">
        <w:t>-v</w:t>
      </w:r>
      <w:r w:rsidR="00832753">
        <w:t>1</w:t>
      </w:r>
      <w:r w:rsidR="005F48B2">
        <w:tab/>
      </w:r>
      <w:r w:rsidR="005F48B2">
        <w:rPr>
          <w:rFonts w:ascii="Times" w:hAnsi="Times"/>
          <w:i/>
          <w:iCs/>
          <w:color w:val="0000FF"/>
          <w:sz w:val="40"/>
        </w:rPr>
        <w:t>LIGO</w:t>
      </w:r>
      <w:r w:rsidR="005F48B2">
        <w:tab/>
      </w:r>
      <w:r w:rsidR="000B6274">
        <w:t>22 Mar 2016</w:t>
      </w:r>
    </w:p>
    <w:p w:rsidR="005F48B2" w:rsidRDefault="000B7BD3">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4D5BA5" w:rsidRDefault="00204F54">
      <w:pPr>
        <w:pStyle w:val="BodyText"/>
        <w:pBdr>
          <w:top w:val="threeDEmboss" w:sz="24" w:space="1" w:color="auto"/>
          <w:left w:val="threeDEmboss" w:sz="24" w:space="4" w:color="auto"/>
          <w:bottom w:val="threeDEmboss" w:sz="24" w:space="1" w:color="auto"/>
          <w:right w:val="threeDEmboss" w:sz="24" w:space="4" w:color="auto"/>
        </w:pBdr>
      </w:pPr>
      <w:r>
        <w:t>Material Qualification RGA Test Results:</w:t>
      </w:r>
      <w:r w:rsidR="000B6274">
        <w:t xml:space="preserve"> </w:t>
      </w:r>
      <w:r w:rsidR="000B6274">
        <w:br/>
        <w:t xml:space="preserve">High Quantum Efficiency </w:t>
      </w:r>
      <w:proofErr w:type="spellStart"/>
      <w:r w:rsidR="000B6274">
        <w:t>InGaA</w:t>
      </w:r>
      <w:r>
        <w:t>s</w:t>
      </w:r>
      <w:proofErr w:type="spellEnd"/>
      <w:r>
        <w:t xml:space="preserve"> Photodiode</w:t>
      </w:r>
    </w:p>
    <w:p w:rsidR="005F48B2" w:rsidRDefault="000B7BD3">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405A56" w:rsidRDefault="000B6274" w:rsidP="00405A56">
      <w:pPr>
        <w:pBdr>
          <w:top w:val="threeDEmboss" w:sz="24" w:space="1" w:color="auto"/>
          <w:left w:val="threeDEmboss" w:sz="24" w:space="4" w:color="auto"/>
          <w:bottom w:val="threeDEmboss" w:sz="24" w:space="1" w:color="auto"/>
          <w:right w:val="threeDEmboss" w:sz="24" w:space="4" w:color="auto"/>
        </w:pBdr>
        <w:jc w:val="center"/>
      </w:pPr>
      <w:r>
        <w:t xml:space="preserve">Bob Taylor, </w:t>
      </w:r>
      <w:r w:rsidR="00E41653">
        <w:t>Dennis Coyne</w:t>
      </w:r>
      <w:bookmarkStart w:id="0" w:name="_GoBack"/>
      <w:bookmarkEnd w:id="0"/>
    </w:p>
    <w:p w:rsidR="00405A56" w:rsidRDefault="00405A56" w:rsidP="00405A56">
      <w:pPr>
        <w:pBdr>
          <w:top w:val="threeDEmboss" w:sz="24" w:space="1" w:color="auto"/>
          <w:left w:val="threeDEmboss" w:sz="24" w:space="4" w:color="auto"/>
          <w:bottom w:val="threeDEmboss" w:sz="24" w:space="1" w:color="auto"/>
          <w:right w:val="threeDEmboss" w:sz="24" w:space="4" w:color="auto"/>
        </w:pBdr>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5F48B2" w:rsidRDefault="005F48B2">
      <w:pPr>
        <w:pStyle w:val="Heading1"/>
      </w:pPr>
      <w:r>
        <w:br w:type="page"/>
      </w:r>
      <w:r>
        <w:lastRenderedPageBreak/>
        <w:t>Introduction</w:t>
      </w:r>
    </w:p>
    <w:p w:rsidR="00C26F5B" w:rsidRDefault="000B6274">
      <w:r>
        <w:t xml:space="preserve">Custom high quantum efficiency </w:t>
      </w:r>
      <w:proofErr w:type="spellStart"/>
      <w:r>
        <w:t>InGaAs</w:t>
      </w:r>
      <w:proofErr w:type="spellEnd"/>
      <w:r>
        <w:t xml:space="preserve"> photodiodes were purchased from Laser Components Inc. The part number is IGHQEX3000. They have a 3 mm diameter active area. The specifications (per </w:t>
      </w:r>
      <w:hyperlink r:id="rId8" w:history="1">
        <w:r w:rsidRPr="000B6274">
          <w:rPr>
            <w:rStyle w:val="Hyperlink"/>
          </w:rPr>
          <w:t>C1500393</w:t>
        </w:r>
      </w:hyperlink>
      <w:r>
        <w:t>-v1) are as follows:</w:t>
      </w:r>
    </w:p>
    <w:p w:rsidR="00AA576D" w:rsidRDefault="000B6274" w:rsidP="00AA576D">
      <w:pPr>
        <w:pStyle w:val="ListParagraph"/>
        <w:numPr>
          <w:ilvl w:val="0"/>
          <w:numId w:val="32"/>
        </w:numPr>
      </w:pPr>
      <w:r w:rsidRPr="000B6274">
        <w:t>High Quantum efficiency of &gt;/=99</w:t>
      </w:r>
      <w:r w:rsidR="00AA576D">
        <w:t>% at the wavelength of 1064nm</w:t>
      </w:r>
    </w:p>
    <w:p w:rsidR="0005784F" w:rsidRDefault="0005784F" w:rsidP="0005784F">
      <w:pPr>
        <w:pStyle w:val="ListParagraph"/>
        <w:numPr>
          <w:ilvl w:val="0"/>
          <w:numId w:val="32"/>
        </w:numPr>
      </w:pPr>
      <w:r w:rsidRPr="0005784F">
        <w:t>Diameter</w:t>
      </w:r>
      <w:r>
        <w:t xml:space="preserve"> of active area: 3mm</w:t>
      </w:r>
      <w:r w:rsidR="00D2752B">
        <w:t xml:space="preserve"> or 0.5 mm (two types)</w:t>
      </w:r>
    </w:p>
    <w:p w:rsidR="00AA576D" w:rsidRDefault="000B6274" w:rsidP="00AA576D">
      <w:pPr>
        <w:pStyle w:val="ListParagraph"/>
        <w:numPr>
          <w:ilvl w:val="0"/>
          <w:numId w:val="32"/>
        </w:numPr>
      </w:pPr>
      <w:r w:rsidRPr="000B6274">
        <w:t xml:space="preserve">AR coating for approx. AOI </w:t>
      </w:r>
      <w:r w:rsidR="00AA576D">
        <w:t>10° (R&lt;0.05%)</w:t>
      </w:r>
    </w:p>
    <w:p w:rsidR="00AA576D" w:rsidRDefault="00AA576D" w:rsidP="00AA576D">
      <w:pPr>
        <w:pStyle w:val="ListParagraph"/>
        <w:numPr>
          <w:ilvl w:val="0"/>
          <w:numId w:val="32"/>
        </w:numPr>
      </w:pPr>
      <w:r>
        <w:t>AOI for p polarization</w:t>
      </w:r>
    </w:p>
    <w:p w:rsidR="00AA576D" w:rsidRDefault="000B6274" w:rsidP="00AA576D">
      <w:pPr>
        <w:pStyle w:val="ListParagraph"/>
        <w:numPr>
          <w:ilvl w:val="0"/>
          <w:numId w:val="32"/>
        </w:numPr>
      </w:pPr>
      <w:r w:rsidRPr="000B6274">
        <w:t xml:space="preserve">SOT9/TO5 header without fixed cap, with a removable protection cap only, anode and cathode is </w:t>
      </w:r>
      <w:r w:rsidR="00AA576D">
        <w:t>separated of the frame ground</w:t>
      </w:r>
    </w:p>
    <w:p w:rsidR="00AA576D" w:rsidRDefault="000B6274" w:rsidP="00AA576D">
      <w:pPr>
        <w:pStyle w:val="ListParagraph"/>
        <w:numPr>
          <w:ilvl w:val="0"/>
          <w:numId w:val="32"/>
        </w:numPr>
      </w:pPr>
      <w:r w:rsidRPr="000B6274">
        <w:t>O</w:t>
      </w:r>
      <w:r w:rsidR="00AA576D">
        <w:t>ptimized for low dark current</w:t>
      </w:r>
      <w:r w:rsidR="0005784F">
        <w:t xml:space="preserve"> (approximately 50 </w:t>
      </w:r>
      <w:proofErr w:type="spellStart"/>
      <w:r w:rsidR="0005784F">
        <w:t>nA</w:t>
      </w:r>
      <w:proofErr w:type="spellEnd"/>
      <w:r w:rsidR="0005784F">
        <w:t>)</w:t>
      </w:r>
    </w:p>
    <w:p w:rsidR="000B6274" w:rsidRDefault="000B6274" w:rsidP="00AA576D">
      <w:pPr>
        <w:pStyle w:val="ListParagraph"/>
        <w:numPr>
          <w:ilvl w:val="0"/>
          <w:numId w:val="32"/>
        </w:numPr>
      </w:pPr>
      <w:r w:rsidRPr="000B6274">
        <w:t>Delivery in dust reduced packing</w:t>
      </w:r>
    </w:p>
    <w:p w:rsidR="0005784F" w:rsidRDefault="0005784F" w:rsidP="0005784F">
      <w:pPr>
        <w:pStyle w:val="Caption"/>
      </w:pPr>
      <w:r>
        <w:t xml:space="preserve">Figure </w:t>
      </w:r>
      <w:fldSimple w:instr=" SEQ Figure \* ARABIC ">
        <w:r w:rsidR="00FA0E4E">
          <w:rPr>
            <w:noProof/>
          </w:rPr>
          <w:t>1</w:t>
        </w:r>
      </w:fldSimple>
      <w:r>
        <w:t xml:space="preserve">: Pin </w:t>
      </w:r>
      <w:r w:rsidRPr="0005784F">
        <w:t>connections</w:t>
      </w:r>
      <w:r>
        <w:t xml:space="preserve"> (IGHQEX3000)</w:t>
      </w:r>
    </w:p>
    <w:p w:rsidR="0005784F" w:rsidRPr="0005784F" w:rsidRDefault="0005784F" w:rsidP="0005784F">
      <w:r w:rsidRPr="0005784F">
        <w:drawing>
          <wp:inline distT="0" distB="0" distL="0" distR="0" wp14:anchorId="4ACD468C" wp14:editId="7DE8FD04">
            <wp:extent cx="3783330" cy="1793482"/>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9827" cy="1806043"/>
                    </a:xfrm>
                    <a:prstGeom prst="rect">
                      <a:avLst/>
                    </a:prstGeom>
                  </pic:spPr>
                </pic:pic>
              </a:graphicData>
            </a:graphic>
          </wp:inline>
        </w:drawing>
      </w:r>
    </w:p>
    <w:p w:rsidR="00AA576D" w:rsidRDefault="00AA576D" w:rsidP="00AA576D">
      <w:r>
        <w:t>The package dimensions</w:t>
      </w:r>
      <w:r>
        <w:rPr>
          <w:rStyle w:val="FootnoteReference"/>
        </w:rPr>
        <w:footnoteReference w:id="1"/>
      </w:r>
      <w:r>
        <w:t xml:space="preserve"> are similar to the photodiode currently used in </w:t>
      </w:r>
      <w:proofErr w:type="spellStart"/>
      <w:r>
        <w:t>aLIGO</w:t>
      </w:r>
      <w:proofErr w:type="spellEnd"/>
      <w:r>
        <w:t xml:space="preserve"> (</w:t>
      </w:r>
      <w:r w:rsidR="006E2D99">
        <w:t>Perkin Elmer/</w:t>
      </w:r>
      <w:proofErr w:type="spellStart"/>
      <w:r w:rsidR="006E2D99">
        <w:t>Excelitas</w:t>
      </w:r>
      <w:proofErr w:type="spellEnd"/>
      <w:r w:rsidR="006E2D99">
        <w:t xml:space="preserve"> </w:t>
      </w:r>
      <w:r>
        <w:t xml:space="preserve">C30665), as indicated in </w:t>
      </w:r>
      <w:r>
        <w:fldChar w:fldCharType="begin"/>
      </w:r>
      <w:r>
        <w:instrText xml:space="preserve"> REF _Ref446409733 \h </w:instrText>
      </w:r>
      <w:r>
        <w:fldChar w:fldCharType="separate"/>
      </w:r>
      <w:r w:rsidR="00FA0E4E">
        <w:t xml:space="preserve">Figure </w:t>
      </w:r>
      <w:r w:rsidR="00FA0E4E">
        <w:rPr>
          <w:noProof/>
        </w:rPr>
        <w:t>2</w:t>
      </w:r>
      <w:r>
        <w:fldChar w:fldCharType="end"/>
      </w:r>
      <w:r>
        <w:t xml:space="preserve">. The PDs came in a “reduced dust” </w:t>
      </w:r>
      <w:r>
        <w:t>case (</w:t>
      </w:r>
      <w:r>
        <w:fldChar w:fldCharType="begin"/>
      </w:r>
      <w:r>
        <w:instrText xml:space="preserve"> REF _Ref446409887 \h </w:instrText>
      </w:r>
      <w:r>
        <w:fldChar w:fldCharType="separate"/>
      </w:r>
      <w:r w:rsidR="00FA0E4E">
        <w:t xml:space="preserve">Figure </w:t>
      </w:r>
      <w:r w:rsidR="00FA0E4E">
        <w:rPr>
          <w:noProof/>
        </w:rPr>
        <w:t>3</w:t>
      </w:r>
      <w:r>
        <w:fldChar w:fldCharType="end"/>
      </w:r>
      <w:r>
        <w:t>). The bottom of the case has a spongy (presumably conductive) material.</w:t>
      </w:r>
    </w:p>
    <w:p w:rsidR="00AA576D" w:rsidRDefault="00AA576D" w:rsidP="00AA576D">
      <w:r>
        <w:t>The d</w:t>
      </w:r>
      <w:r>
        <w:t xml:space="preserve">iodes have no window. Each </w:t>
      </w:r>
      <w:r>
        <w:t>came with an adhesive seal over the opening (no window) and serial numbering in marker on the side</w:t>
      </w:r>
      <w:r>
        <w:t>. (</w:t>
      </w:r>
      <w:r>
        <w:fldChar w:fldCharType="begin"/>
      </w:r>
      <w:r>
        <w:instrText xml:space="preserve"> REF _Ref446410058 \h </w:instrText>
      </w:r>
      <w:r>
        <w:fldChar w:fldCharType="separate"/>
      </w:r>
      <w:r w:rsidR="00FA0E4E">
        <w:t xml:space="preserve">Figure </w:t>
      </w:r>
      <w:r w:rsidR="00FA0E4E">
        <w:rPr>
          <w:noProof/>
        </w:rPr>
        <w:t>4</w:t>
      </w:r>
      <w:r>
        <w:fldChar w:fldCharType="end"/>
      </w:r>
      <w:r>
        <w:t xml:space="preserve"> and </w:t>
      </w:r>
      <w:r>
        <w:fldChar w:fldCharType="begin"/>
      </w:r>
      <w:r>
        <w:instrText xml:space="preserve"> REF _Ref446410166 \h </w:instrText>
      </w:r>
      <w:r>
        <w:fldChar w:fldCharType="separate"/>
      </w:r>
      <w:r w:rsidR="00FA0E4E">
        <w:t xml:space="preserve">Figure </w:t>
      </w:r>
      <w:r w:rsidR="00FA0E4E">
        <w:rPr>
          <w:noProof/>
        </w:rPr>
        <w:t>5</w:t>
      </w:r>
      <w:r>
        <w:fldChar w:fldCharType="end"/>
      </w:r>
      <w:r>
        <w:t>)</w:t>
      </w:r>
      <w:r>
        <w:t xml:space="preserve">. </w:t>
      </w:r>
    </w:p>
    <w:p w:rsidR="00AA576D" w:rsidRDefault="00AA576D" w:rsidP="00AA576D">
      <w:r>
        <w:t>The seal</w:t>
      </w:r>
      <w:r>
        <w:t>s</w:t>
      </w:r>
      <w:r>
        <w:t xml:space="preserve"> w</w:t>
      </w:r>
      <w:r>
        <w:t>ere removed and the area where an adhesive residue might have been left was wiped with isopropyl alcohol. The seals were</w:t>
      </w:r>
      <w:r>
        <w:t xml:space="preserve"> </w:t>
      </w:r>
      <w:r>
        <w:t xml:space="preserve">replaced with </w:t>
      </w:r>
      <w:proofErr w:type="spellStart"/>
      <w:r>
        <w:t>FirstContact</w:t>
      </w:r>
      <w:proofErr w:type="spellEnd"/>
      <w:r>
        <w:t>.</w:t>
      </w:r>
    </w:p>
    <w:p w:rsidR="008A268A" w:rsidRDefault="008A268A"/>
    <w:p w:rsidR="008A268A" w:rsidRDefault="008A268A" w:rsidP="008A268A">
      <w:pPr>
        <w:pStyle w:val="Caption"/>
      </w:pPr>
      <w:bookmarkStart w:id="1" w:name="_Ref446409733"/>
      <w:r>
        <w:lastRenderedPageBreak/>
        <w:t xml:space="preserve">Figure </w:t>
      </w:r>
      <w:fldSimple w:instr=" SEQ Figure \* ARABIC ">
        <w:r w:rsidR="00FA0E4E">
          <w:rPr>
            <w:noProof/>
          </w:rPr>
          <w:t>2</w:t>
        </w:r>
      </w:fldSimple>
      <w:bookmarkEnd w:id="1"/>
      <w:r>
        <w:t xml:space="preserve">: </w:t>
      </w:r>
      <w:r w:rsidR="00AA576D">
        <w:t>Package dimensions (in mm)</w:t>
      </w:r>
      <w:r>
        <w:t>.</w:t>
      </w:r>
    </w:p>
    <w:p w:rsidR="00411C14" w:rsidRDefault="00AA576D" w:rsidP="00411C14">
      <w:r w:rsidRPr="00AA576D">
        <w:drawing>
          <wp:inline distT="0" distB="0" distL="0" distR="0" wp14:anchorId="16DD3695" wp14:editId="3F83BC3C">
            <wp:extent cx="3800475" cy="2971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0475" cy="2971800"/>
                    </a:xfrm>
                    <a:prstGeom prst="rect">
                      <a:avLst/>
                    </a:prstGeom>
                  </pic:spPr>
                </pic:pic>
              </a:graphicData>
            </a:graphic>
          </wp:inline>
        </w:drawing>
      </w:r>
    </w:p>
    <w:p w:rsidR="00411C14" w:rsidRPr="00411C14" w:rsidRDefault="00411C14" w:rsidP="00411C14">
      <w:pPr>
        <w:pStyle w:val="Caption"/>
      </w:pPr>
      <w:bookmarkStart w:id="2" w:name="_Ref446409887"/>
      <w:r>
        <w:t xml:space="preserve">Figure </w:t>
      </w:r>
      <w:fldSimple w:instr=" SEQ Figure \* ARABIC ">
        <w:r w:rsidR="00FA0E4E">
          <w:rPr>
            <w:noProof/>
          </w:rPr>
          <w:t>3</w:t>
        </w:r>
      </w:fldSimple>
      <w:bookmarkEnd w:id="2"/>
      <w:r>
        <w:t xml:space="preserve">: </w:t>
      </w:r>
      <w:r w:rsidR="00AA576D">
        <w:t>As-received packaging container</w:t>
      </w:r>
      <w:r>
        <w:t>.</w:t>
      </w:r>
    </w:p>
    <w:p w:rsidR="0038497C" w:rsidRDefault="00AA576D" w:rsidP="0038497C">
      <w:r w:rsidRPr="00AA576D">
        <w:drawing>
          <wp:inline distT="0" distB="0" distL="0" distR="0" wp14:anchorId="3BD915ED" wp14:editId="122AED8E">
            <wp:extent cx="4000500" cy="391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0500" cy="3914775"/>
                    </a:xfrm>
                    <a:prstGeom prst="rect">
                      <a:avLst/>
                    </a:prstGeom>
                  </pic:spPr>
                </pic:pic>
              </a:graphicData>
            </a:graphic>
          </wp:inline>
        </w:drawing>
      </w:r>
    </w:p>
    <w:p w:rsidR="0038497C" w:rsidRDefault="00F103CA" w:rsidP="00F103CA">
      <w:pPr>
        <w:pStyle w:val="Caption"/>
      </w:pPr>
      <w:bookmarkStart w:id="3" w:name="_Ref446410058"/>
      <w:r>
        <w:lastRenderedPageBreak/>
        <w:t xml:space="preserve">Figure </w:t>
      </w:r>
      <w:fldSimple w:instr=" SEQ Figure \* ARABIC ">
        <w:r w:rsidR="00FA0E4E">
          <w:rPr>
            <w:noProof/>
          </w:rPr>
          <w:t>4</w:t>
        </w:r>
      </w:fldSimple>
      <w:bookmarkEnd w:id="3"/>
      <w:r>
        <w:t xml:space="preserve">: </w:t>
      </w:r>
      <w:r w:rsidR="00AA576D">
        <w:t xml:space="preserve">IGHQEX3000 </w:t>
      </w:r>
      <w:proofErr w:type="spellStart"/>
      <w:r w:rsidR="00AA576D">
        <w:t>InGaAs</w:t>
      </w:r>
      <w:proofErr w:type="spellEnd"/>
      <w:r w:rsidR="00AA576D">
        <w:t xml:space="preserve"> Photodiode (as-received with removable adhesive cap and serial number marking on the side)</w:t>
      </w:r>
    </w:p>
    <w:p w:rsidR="003A43EE" w:rsidRDefault="00AA576D" w:rsidP="003A43EE">
      <w:r w:rsidRPr="00AA576D">
        <w:drawing>
          <wp:inline distT="0" distB="0" distL="0" distR="0" wp14:anchorId="13E82CDE" wp14:editId="4D0DF0AD">
            <wp:extent cx="4000500" cy="3333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0500" cy="3333750"/>
                    </a:xfrm>
                    <a:prstGeom prst="rect">
                      <a:avLst/>
                    </a:prstGeom>
                  </pic:spPr>
                </pic:pic>
              </a:graphicData>
            </a:graphic>
          </wp:inline>
        </w:drawing>
      </w:r>
    </w:p>
    <w:p w:rsidR="003A43EE" w:rsidRDefault="003A43EE" w:rsidP="003A43EE">
      <w:pPr>
        <w:pStyle w:val="Caption"/>
      </w:pPr>
      <w:bookmarkStart w:id="4" w:name="_Ref446410166"/>
      <w:r>
        <w:t xml:space="preserve">Figure </w:t>
      </w:r>
      <w:fldSimple w:instr=" SEQ Figure \* ARABIC ">
        <w:r w:rsidR="00FA0E4E">
          <w:rPr>
            <w:noProof/>
          </w:rPr>
          <w:t>5</w:t>
        </w:r>
      </w:fldSimple>
      <w:bookmarkEnd w:id="4"/>
      <w:r>
        <w:t xml:space="preserve">: </w:t>
      </w:r>
      <w:r w:rsidR="00AA576D">
        <w:t xml:space="preserve">IGHQEX3000 </w:t>
      </w:r>
      <w:proofErr w:type="spellStart"/>
      <w:r w:rsidR="00AA576D">
        <w:t>InGaAs</w:t>
      </w:r>
      <w:proofErr w:type="spellEnd"/>
      <w:r w:rsidR="00AA576D">
        <w:t xml:space="preserve"> Photodiode with seal removed</w:t>
      </w:r>
    </w:p>
    <w:p w:rsidR="00876102" w:rsidRDefault="00AA576D" w:rsidP="00876102">
      <w:r w:rsidRPr="00AA576D">
        <w:drawing>
          <wp:inline distT="0" distB="0" distL="0" distR="0" wp14:anchorId="5E2E2153" wp14:editId="1C082E8B">
            <wp:extent cx="4000500" cy="3609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0500" cy="3609975"/>
                    </a:xfrm>
                    <a:prstGeom prst="rect">
                      <a:avLst/>
                    </a:prstGeom>
                  </pic:spPr>
                </pic:pic>
              </a:graphicData>
            </a:graphic>
          </wp:inline>
        </w:drawing>
      </w:r>
    </w:p>
    <w:p w:rsidR="0005784F" w:rsidRDefault="0005784F">
      <w:pPr>
        <w:pStyle w:val="Heading1"/>
      </w:pPr>
      <w:r>
        <w:lastRenderedPageBreak/>
        <w:t>Material composition</w:t>
      </w:r>
    </w:p>
    <w:p w:rsidR="0005784F" w:rsidRPr="0005784F" w:rsidRDefault="0005784F" w:rsidP="0005784F">
      <w:r>
        <w:t xml:space="preserve">We do not have a list of </w:t>
      </w:r>
      <w:r w:rsidR="00E91E00">
        <w:t xml:space="preserve">materials (other than obviously </w:t>
      </w:r>
      <w:proofErr w:type="spellStart"/>
      <w:r w:rsidR="00E91E00">
        <w:t>InGaAs</w:t>
      </w:r>
      <w:proofErr w:type="spellEnd"/>
      <w:r w:rsidR="00E91E00">
        <w:t>). However we trust that the manufacturer has chosen low outgassing materials in the packaging, given that this is a sensitive semiconductor detector.</w:t>
      </w:r>
    </w:p>
    <w:p w:rsidR="005F48B2" w:rsidRDefault="006E2D99">
      <w:pPr>
        <w:pStyle w:val="Heading1"/>
      </w:pPr>
      <w:r>
        <w:t>Cleaning procedure</w:t>
      </w:r>
    </w:p>
    <w:p w:rsidR="006E2D99" w:rsidRPr="006E2D99" w:rsidRDefault="006E2D99" w:rsidP="006E2D99">
      <w:r>
        <w:t>The cleaning steps are intentionally minimal; We do not want to risk damage to the bond wires and we do not want to deposit contaminants on the active area (and risk spoiling the high responsivity of the device).</w:t>
      </w:r>
    </w:p>
    <w:p w:rsidR="006E2D99" w:rsidRDefault="006E2D99" w:rsidP="00D11EA6">
      <w:pPr>
        <w:pStyle w:val="ListParagraph"/>
        <w:numPr>
          <w:ilvl w:val="0"/>
          <w:numId w:val="35"/>
        </w:numPr>
      </w:pPr>
      <w:r>
        <w:t>Perform all handling and cleaning in a clean room, or on a laminar flow bench.</w:t>
      </w:r>
    </w:p>
    <w:p w:rsidR="006E2D99" w:rsidRDefault="006E2D99" w:rsidP="00D11EA6">
      <w:pPr>
        <w:pStyle w:val="ListParagraph"/>
        <w:numPr>
          <w:ilvl w:val="0"/>
          <w:numId w:val="35"/>
        </w:numPr>
      </w:pPr>
      <w:r>
        <w:t>Remove the polymer seal over the photodiode opening.</w:t>
      </w:r>
    </w:p>
    <w:p w:rsidR="006E2D99" w:rsidRDefault="006E2D99" w:rsidP="00D11EA6">
      <w:pPr>
        <w:pStyle w:val="ListParagraph"/>
        <w:numPr>
          <w:ilvl w:val="0"/>
          <w:numId w:val="35"/>
        </w:numPr>
      </w:pPr>
      <w:r>
        <w:t>Carefully wipe the perimeter of the opening with a clean room grade wipe moistened with isopropyl alcohol in order to remove any potential adhesive residue from the polymer seal. Take care not to drip any alcohol into the interior of the photodiode, or to contaminate the interior with any particulates.</w:t>
      </w:r>
    </w:p>
    <w:p w:rsidR="006E2D99" w:rsidRDefault="006E2D99" w:rsidP="00D11EA6">
      <w:pPr>
        <w:pStyle w:val="ListParagraph"/>
        <w:numPr>
          <w:ilvl w:val="0"/>
          <w:numId w:val="35"/>
        </w:numPr>
      </w:pPr>
      <w:r w:rsidRPr="006E2D99">
        <w:t xml:space="preserve">Clean </w:t>
      </w:r>
      <w:r>
        <w:t xml:space="preserve">the </w:t>
      </w:r>
      <w:r w:rsidRPr="006E2D99">
        <w:t>exterior of diode can with isopropyl alcohol to remove any marking, taking care not to get the solvent with dissolved marker into the interior of the package</w:t>
      </w:r>
    </w:p>
    <w:p w:rsidR="006E2D99" w:rsidRDefault="006E2D99" w:rsidP="00D11EA6">
      <w:pPr>
        <w:pStyle w:val="ListParagraph"/>
        <w:numPr>
          <w:ilvl w:val="0"/>
          <w:numId w:val="35"/>
        </w:numPr>
      </w:pPr>
      <w:r>
        <w:t xml:space="preserve">Allow diode </w:t>
      </w:r>
      <w:r>
        <w:t>package</w:t>
      </w:r>
      <w:r>
        <w:t xml:space="preserve"> to dry</w:t>
      </w:r>
      <w:r>
        <w:t>.</w:t>
      </w:r>
    </w:p>
    <w:p w:rsidR="00D11EA6" w:rsidRDefault="00D11EA6" w:rsidP="00D11EA6">
      <w:pPr>
        <w:pStyle w:val="ListParagraph"/>
        <w:numPr>
          <w:ilvl w:val="0"/>
          <w:numId w:val="35"/>
        </w:numPr>
      </w:pPr>
      <w:r>
        <w:t xml:space="preserve">Place the photodiodes into their custom protective </w:t>
      </w:r>
      <w:r w:rsidR="00BD1289">
        <w:t xml:space="preserve">transport and handling fixtures (aka cage, see </w:t>
      </w:r>
      <w:hyperlink r:id="rId14" w:history="1">
        <w:r w:rsidR="00BD1289" w:rsidRPr="00BD1289">
          <w:rPr>
            <w:rStyle w:val="Hyperlink"/>
          </w:rPr>
          <w:t>D1500487</w:t>
        </w:r>
      </w:hyperlink>
      <w:r w:rsidR="00BD1289">
        <w:t>)</w:t>
      </w:r>
    </w:p>
    <w:p w:rsidR="001C5CA0" w:rsidRDefault="001C5CA0" w:rsidP="00D11EA6">
      <w:pPr>
        <w:pStyle w:val="ListParagraph"/>
        <w:numPr>
          <w:ilvl w:val="0"/>
          <w:numId w:val="35"/>
        </w:numPr>
      </w:pPr>
      <w:r>
        <w:t>Do not bake the photodiodes (neither air bake, nor vacuum bake).</w:t>
      </w:r>
    </w:p>
    <w:p w:rsidR="001C5CA0" w:rsidRDefault="001C5CA0" w:rsidP="00D11EA6">
      <w:pPr>
        <w:pStyle w:val="ListParagraph"/>
        <w:numPr>
          <w:ilvl w:val="0"/>
          <w:numId w:val="35"/>
        </w:numPr>
      </w:pPr>
      <w:r>
        <w:t>Do not expose the photodiodes to storage temperatures</w:t>
      </w:r>
      <w:r w:rsidR="00F33796">
        <w:rPr>
          <w:rStyle w:val="FootnoteReference"/>
        </w:rPr>
        <w:footnoteReference w:id="2"/>
      </w:r>
      <w:r>
        <w:t xml:space="preserve"> in excess of </w:t>
      </w:r>
      <w:r w:rsidR="00F33796">
        <w:t>125C</w:t>
      </w:r>
    </w:p>
    <w:p w:rsidR="005A7DF4" w:rsidRDefault="0005784F" w:rsidP="007B5809">
      <w:pPr>
        <w:pStyle w:val="Heading1"/>
      </w:pPr>
      <w:r>
        <w:t>RGA qualification test</w:t>
      </w:r>
    </w:p>
    <w:p w:rsidR="00E91E00" w:rsidRDefault="00B6579C" w:rsidP="00E91E00">
      <w:r>
        <w:t xml:space="preserve">In order to qualify the above cleaning (no baking) procedure, we performed an RGA test on two (2) of the IGHQEX3000 </w:t>
      </w:r>
      <w:proofErr w:type="spellStart"/>
      <w:r>
        <w:t>InGaAs</w:t>
      </w:r>
      <w:proofErr w:type="spellEnd"/>
      <w:r>
        <w:t xml:space="preserve"> photodiodes</w:t>
      </w:r>
      <w:r>
        <w:t xml:space="preserve">. (These particular PDs had relatively high dark current.) </w:t>
      </w:r>
      <w:r w:rsidR="00D11EA6">
        <w:t>For this RGA qualification</w:t>
      </w:r>
      <w:r w:rsidR="00D11EA6">
        <w:t xml:space="preserve"> test we </w:t>
      </w:r>
      <w:r w:rsidR="00D11EA6">
        <w:t>used a vacuum bake oven that had been recently baked empty and had</w:t>
      </w:r>
      <w:r w:rsidR="00D11EA6">
        <w:t xml:space="preserve"> a clean RGA</w:t>
      </w:r>
      <w:r w:rsidR="00D11EA6">
        <w:t xml:space="preserve"> scan.</w:t>
      </w:r>
    </w:p>
    <w:p w:rsidR="00B6579C" w:rsidRDefault="00B6579C" w:rsidP="00D11EA6">
      <w:pPr>
        <w:pStyle w:val="ListParagraph"/>
        <w:numPr>
          <w:ilvl w:val="0"/>
          <w:numId w:val="34"/>
        </w:numPr>
      </w:pPr>
      <w:r>
        <w:t>Handle with care; These PDs are windowless and so have exposed bond</w:t>
      </w:r>
      <w:r w:rsidR="00D11EA6">
        <w:t xml:space="preserve"> </w:t>
      </w:r>
      <w:r>
        <w:t>wires. Leave in the protective cage at all times.</w:t>
      </w:r>
    </w:p>
    <w:p w:rsidR="00B6579C" w:rsidRDefault="00B6579C" w:rsidP="00D11EA6">
      <w:pPr>
        <w:pStyle w:val="ListParagraph"/>
        <w:numPr>
          <w:ilvl w:val="0"/>
          <w:numId w:val="34"/>
        </w:numPr>
      </w:pPr>
      <w:r>
        <w:t>Bring the vacuum oven to atmospheric pressure with dry N2 just before</w:t>
      </w:r>
      <w:r w:rsidR="00D11EA6">
        <w:t xml:space="preserve"> </w:t>
      </w:r>
      <w:r>
        <w:t xml:space="preserve">placing these </w:t>
      </w:r>
      <w:r w:rsidR="00D11EA6">
        <w:t>two (</w:t>
      </w:r>
      <w:r>
        <w:t>2</w:t>
      </w:r>
      <w:r w:rsidR="00D11EA6">
        <w:t>)</w:t>
      </w:r>
      <w:r>
        <w:t xml:space="preserve"> PDs into the chamber, i.e. do not let the chamber walls</w:t>
      </w:r>
      <w:r w:rsidR="00D11EA6">
        <w:t xml:space="preserve"> </w:t>
      </w:r>
      <w:r>
        <w:t xml:space="preserve">get wet waiting </w:t>
      </w:r>
      <w:r w:rsidR="00D11EA6">
        <w:t>a long time before putting the</w:t>
      </w:r>
      <w:r>
        <w:t xml:space="preserve"> PDs into the oven.</w:t>
      </w:r>
    </w:p>
    <w:p w:rsidR="00890CC6" w:rsidRDefault="00890CC6" w:rsidP="00D11EA6">
      <w:pPr>
        <w:pStyle w:val="ListParagraph"/>
        <w:numPr>
          <w:ilvl w:val="0"/>
          <w:numId w:val="34"/>
        </w:numPr>
      </w:pPr>
      <w:r>
        <w:t>Pump down to high vacuum and take an RGA scan.</w:t>
      </w:r>
    </w:p>
    <w:p w:rsidR="00B6579C" w:rsidRDefault="00890CC6" w:rsidP="00D11EA6">
      <w:pPr>
        <w:pStyle w:val="ListParagraph"/>
        <w:numPr>
          <w:ilvl w:val="0"/>
          <w:numId w:val="34"/>
        </w:numPr>
      </w:pPr>
      <w:r>
        <w:t xml:space="preserve">With the RGA head </w:t>
      </w:r>
      <w:proofErr w:type="spellStart"/>
      <w:r>
        <w:t>valved</w:t>
      </w:r>
      <w:proofErr w:type="spellEnd"/>
      <w:r>
        <w:t xml:space="preserve"> off from the oven, b</w:t>
      </w:r>
      <w:r w:rsidR="00B6579C">
        <w:t xml:space="preserve">ake at 40C for 48 </w:t>
      </w:r>
      <w:proofErr w:type="spellStart"/>
      <w:r w:rsidR="00B6579C">
        <w:t>hrs</w:t>
      </w:r>
      <w:proofErr w:type="spellEnd"/>
      <w:r w:rsidR="00B6579C">
        <w:t>, in or</w:t>
      </w:r>
      <w:r w:rsidR="00D11EA6">
        <w:t xml:space="preserve">der to drive water off of the </w:t>
      </w:r>
      <w:r w:rsidR="00B6579C">
        <w:t>PDs</w:t>
      </w:r>
      <w:r w:rsidR="00D11EA6">
        <w:t xml:space="preserve"> and their protective cage.</w:t>
      </w:r>
    </w:p>
    <w:p w:rsidR="00D11EA6" w:rsidRDefault="00D11EA6" w:rsidP="00D11EA6">
      <w:pPr>
        <w:pStyle w:val="ListParagraph"/>
        <w:numPr>
          <w:ilvl w:val="0"/>
          <w:numId w:val="34"/>
        </w:numPr>
      </w:pPr>
      <w:r>
        <w:t xml:space="preserve">Take an RGA scan at 40C after the 48 </w:t>
      </w:r>
      <w:proofErr w:type="spellStart"/>
      <w:r>
        <w:t>hr</w:t>
      </w:r>
      <w:proofErr w:type="spellEnd"/>
      <w:r>
        <w:t xml:space="preserve"> dwell period.</w:t>
      </w:r>
    </w:p>
    <w:p w:rsidR="00B6579C" w:rsidRDefault="00D11EA6" w:rsidP="00D11EA6">
      <w:pPr>
        <w:pStyle w:val="ListParagraph"/>
        <w:numPr>
          <w:ilvl w:val="0"/>
          <w:numId w:val="34"/>
        </w:numPr>
      </w:pPr>
      <w:r>
        <w:t xml:space="preserve">Cool to room temperature and </w:t>
      </w:r>
      <w:r w:rsidR="00B6579C">
        <w:t>take RGA scans</w:t>
      </w:r>
      <w:r>
        <w:t xml:space="preserve">: RGA </w:t>
      </w:r>
      <w:r w:rsidR="00B6579C">
        <w:t>background</w:t>
      </w:r>
      <w:r>
        <w:t xml:space="preserve"> (</w:t>
      </w:r>
      <w:proofErr w:type="spellStart"/>
      <w:r>
        <w:t>valved</w:t>
      </w:r>
      <w:proofErr w:type="spellEnd"/>
      <w:r>
        <w:t xml:space="preserve"> off from the oven)</w:t>
      </w:r>
      <w:r w:rsidR="00B6579C">
        <w:t xml:space="preserve">, </w:t>
      </w:r>
      <w:r>
        <w:t xml:space="preserve">RGA scan of the oven load </w:t>
      </w:r>
      <w:r w:rsidR="00B6579C">
        <w:t>with</w:t>
      </w:r>
      <w:r>
        <w:t xml:space="preserve"> and without a </w:t>
      </w:r>
      <w:r w:rsidR="00B6579C">
        <w:t>calibrated leak</w:t>
      </w:r>
      <w:r>
        <w:t xml:space="preserve"> open</w:t>
      </w:r>
    </w:p>
    <w:p w:rsidR="00D5144C" w:rsidRDefault="00890CC6" w:rsidP="00D5144C">
      <w:r>
        <w:t xml:space="preserve">The </w:t>
      </w:r>
      <w:r w:rsidR="005114F8">
        <w:t xml:space="preserve">RGA scan of the two “wet” photodiodes after pumping down to vacuum () shows a fair amount of hydrocarbon outgassing. Although a scan with a calibrated leak was not taken at this </w:t>
      </w:r>
      <w:r w:rsidR="005114F8">
        <w:lastRenderedPageBreak/>
        <w:t xml:space="preserve">time, if one uses the </w:t>
      </w:r>
      <w:r w:rsidR="00F33796">
        <w:t xml:space="preserve">post-bake, </w:t>
      </w:r>
      <w:r w:rsidR="005114F8">
        <w:t xml:space="preserve">calibrated leak scan </w:t>
      </w:r>
      <w:r w:rsidR="00F33796">
        <w:t>the apparent hydrocarbon outgassing is WHAT</w:t>
      </w:r>
      <w:r w:rsidR="00D2752B">
        <w:t xml:space="preserve"> Note in particular a very high peak at AMU 64. </w:t>
      </w:r>
    </w:p>
    <w:p w:rsidR="00BB6819" w:rsidRDefault="00BB6819" w:rsidP="00BB6819">
      <w:pPr>
        <w:pStyle w:val="Caption"/>
      </w:pPr>
      <w:r>
        <w:t xml:space="preserve">Figure </w:t>
      </w:r>
      <w:fldSimple w:instr=" SEQ Figure \* ARABIC ">
        <w:r w:rsidR="00FA0E4E">
          <w:rPr>
            <w:noProof/>
          </w:rPr>
          <w:t>6</w:t>
        </w:r>
      </w:fldSimple>
      <w:r>
        <w:t>: Pre-bake RGA Scan</w:t>
      </w:r>
    </w:p>
    <w:p w:rsidR="005E413D" w:rsidRDefault="005E413D" w:rsidP="00D5144C">
      <w:r>
        <w:rPr>
          <w:noProof/>
        </w:rPr>
        <w:drawing>
          <wp:inline distT="0" distB="0" distL="0" distR="0">
            <wp:extent cx="6089650" cy="291719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IGH QE PD BEFORE BAK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89650" cy="2917190"/>
                    </a:xfrm>
                    <a:prstGeom prst="rect">
                      <a:avLst/>
                    </a:prstGeom>
                  </pic:spPr>
                </pic:pic>
              </a:graphicData>
            </a:graphic>
          </wp:inline>
        </w:drawing>
      </w:r>
    </w:p>
    <w:p w:rsidR="00502CF4" w:rsidRDefault="00502CF4" w:rsidP="00502CF4">
      <w:r>
        <w:t>The post bake (40C</w:t>
      </w:r>
      <w:r>
        <w:t>, 48 hours</w:t>
      </w:r>
      <w:r>
        <w:t xml:space="preserve">) RGA scan </w:t>
      </w:r>
      <w:r>
        <w:t xml:space="preserve">at 40C </w:t>
      </w:r>
      <w:r>
        <w:t xml:space="preserve">shows </w:t>
      </w:r>
      <w:r>
        <w:t>some hydrocarbon signature/components in the</w:t>
      </w:r>
      <w:r>
        <w:t xml:space="preserve"> s</w:t>
      </w:r>
      <w:r>
        <w:t xml:space="preserve">pectrum (including </w:t>
      </w:r>
      <w:r>
        <w:t xml:space="preserve">a </w:t>
      </w:r>
      <w:r>
        <w:t xml:space="preserve">prominent </w:t>
      </w:r>
      <w:r>
        <w:t>peak at AMU 64</w:t>
      </w:r>
      <w:r>
        <w:t>)</w:t>
      </w:r>
      <w:r>
        <w:t xml:space="preserve">. </w:t>
      </w:r>
    </w:p>
    <w:p w:rsidR="00BB6819" w:rsidRDefault="00BB6819" w:rsidP="00BB6819">
      <w:pPr>
        <w:pStyle w:val="Caption"/>
      </w:pPr>
      <w:r>
        <w:t xml:space="preserve">Figure </w:t>
      </w:r>
      <w:fldSimple w:instr=" SEQ Figure \* ARABIC ">
        <w:r w:rsidR="00FA0E4E">
          <w:rPr>
            <w:noProof/>
          </w:rPr>
          <w:t>7</w:t>
        </w:r>
      </w:fldSimple>
      <w:r>
        <w:t>: Post-bake (40C, 48 hours) RGA Scan taken at 40C</w:t>
      </w:r>
    </w:p>
    <w:p w:rsidR="00502CF4" w:rsidRDefault="00BB6819" w:rsidP="00D5144C">
      <w:r>
        <w:rPr>
          <w:noProof/>
        </w:rPr>
        <w:drawing>
          <wp:inline distT="0" distB="0" distL="0" distR="0">
            <wp:extent cx="6089650" cy="291719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IGH QE PD AFTER BAKE AT 40C.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89650" cy="2917190"/>
                    </a:xfrm>
                    <a:prstGeom prst="rect">
                      <a:avLst/>
                    </a:prstGeom>
                  </pic:spPr>
                </pic:pic>
              </a:graphicData>
            </a:graphic>
          </wp:inline>
        </w:drawing>
      </w:r>
    </w:p>
    <w:p w:rsidR="00DE65AA" w:rsidRDefault="00DE65AA" w:rsidP="00D5144C">
      <w:r>
        <w:t>The post bake (40C</w:t>
      </w:r>
      <w:r w:rsidR="00BB6819">
        <w:t>, 48 hours</w:t>
      </w:r>
      <w:r>
        <w:t xml:space="preserve">) RGA scan </w:t>
      </w:r>
      <w:r w:rsidR="00BB6819">
        <w:t xml:space="preserve">at room temperature </w:t>
      </w:r>
      <w:r>
        <w:t xml:space="preserve">shows a clean spectrum except for a peak at AMU 64 above the background. </w:t>
      </w:r>
      <w:r w:rsidR="00204F54">
        <w:t>T</w:t>
      </w:r>
      <w:r w:rsidR="00204F54">
        <w:t>he apparen</w:t>
      </w:r>
      <w:r w:rsidR="00204F54">
        <w:t>t hydrocarbon outgassing is 2.7E</w:t>
      </w:r>
      <w:r w:rsidR="00204F54">
        <w:t xml:space="preserve">-11 </w:t>
      </w:r>
      <w:proofErr w:type="spellStart"/>
      <w:r w:rsidR="00204F54">
        <w:t>torr</w:t>
      </w:r>
      <w:proofErr w:type="spellEnd"/>
      <w:r w:rsidR="00204F54">
        <w:t>-L/s based on the standard fiv</w:t>
      </w:r>
      <w:r w:rsidR="00204F54">
        <w:t>e hydrocarbon flag AMUs (or 3.8E</w:t>
      </w:r>
      <w:r w:rsidR="00204F54">
        <w:t xml:space="preserve">-11 </w:t>
      </w:r>
      <w:proofErr w:type="spellStart"/>
      <w:r w:rsidR="00204F54">
        <w:t>torr</w:t>
      </w:r>
      <w:proofErr w:type="spellEnd"/>
      <w:r w:rsidR="00204F54">
        <w:t xml:space="preserve">-L/s including AMU 64). This is pretty clean, considering only a 40C bake. It is higher than the desired ~2e-12 </w:t>
      </w:r>
      <w:proofErr w:type="spellStart"/>
      <w:r w:rsidR="00204F54">
        <w:t>torr</w:t>
      </w:r>
      <w:proofErr w:type="spellEnd"/>
      <w:r w:rsidR="00204F54">
        <w:t xml:space="preserve">-L/s level for a </w:t>
      </w:r>
      <w:r w:rsidR="00204F54">
        <w:lastRenderedPageBreak/>
        <w:t>small oven load</w:t>
      </w:r>
      <w:r w:rsidR="00204F54">
        <w:t xml:space="preserve"> (limited by mass spectrometer noise floor)</w:t>
      </w:r>
      <w:r w:rsidR="00204F54">
        <w:t xml:space="preserve">, but </w:t>
      </w:r>
      <w:r w:rsidR="00204F54">
        <w:t xml:space="preserve">much </w:t>
      </w:r>
      <w:r w:rsidR="00204F54">
        <w:t xml:space="preserve">less than the maximum acceptable level of ~4e-10 </w:t>
      </w:r>
      <w:proofErr w:type="spellStart"/>
      <w:r w:rsidR="00204F54">
        <w:t>torr</w:t>
      </w:r>
      <w:proofErr w:type="spellEnd"/>
      <w:r w:rsidR="00204F54">
        <w:t xml:space="preserve">-L/s for a large oven load (per </w:t>
      </w:r>
      <w:hyperlink r:id="rId17" w:history="1">
        <w:r w:rsidR="00204F54" w:rsidRPr="00204F54">
          <w:rPr>
            <w:rStyle w:val="Hyperlink"/>
          </w:rPr>
          <w:t>E080177</w:t>
        </w:r>
      </w:hyperlink>
      <w:r w:rsidR="00204F54">
        <w:t>).</w:t>
      </w:r>
    </w:p>
    <w:p w:rsidR="00BB6819" w:rsidRDefault="00BB6819" w:rsidP="00BB6819">
      <w:pPr>
        <w:pStyle w:val="Caption"/>
      </w:pPr>
      <w:r>
        <w:t xml:space="preserve">Figure </w:t>
      </w:r>
      <w:fldSimple w:instr=" SEQ Figure \* ARABIC ">
        <w:r w:rsidR="00FA0E4E">
          <w:rPr>
            <w:noProof/>
          </w:rPr>
          <w:t>8</w:t>
        </w:r>
      </w:fldSimple>
      <w:r>
        <w:t>: Post-bake (40C, 48 hours) RGA Scan taken at room temperature</w:t>
      </w:r>
    </w:p>
    <w:p w:rsidR="005E413D" w:rsidRDefault="005E413D" w:rsidP="00D5144C">
      <w:r>
        <w:rPr>
          <w:noProof/>
        </w:rPr>
        <w:drawing>
          <wp:inline distT="0" distB="0" distL="0" distR="0">
            <wp:extent cx="6089650" cy="291719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IGH QE PD AFTER BAKE.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89650" cy="2917190"/>
                    </a:xfrm>
                    <a:prstGeom prst="rect">
                      <a:avLst/>
                    </a:prstGeom>
                  </pic:spPr>
                </pic:pic>
              </a:graphicData>
            </a:graphic>
          </wp:inline>
        </w:drawing>
      </w:r>
    </w:p>
    <w:p w:rsidR="00780DB3" w:rsidRDefault="00780DB3" w:rsidP="00780DB3">
      <w:pPr>
        <w:pStyle w:val="Caption"/>
      </w:pPr>
      <w:r>
        <w:t xml:space="preserve">Figure </w:t>
      </w:r>
      <w:fldSimple w:instr=" SEQ Figure \* ARABIC ">
        <w:r w:rsidR="00FA0E4E">
          <w:rPr>
            <w:noProof/>
          </w:rPr>
          <w:t>9</w:t>
        </w:r>
      </w:fldSimple>
      <w:r>
        <w:t>: Post-bake (</w:t>
      </w:r>
      <w:r w:rsidR="00204F54">
        <w:t>40C, 48 hou</w:t>
      </w:r>
      <w:r>
        <w:t xml:space="preserve">rs) RGA Scan taken at room temperature with a Calibrated leak Open (2.36E-10 </w:t>
      </w:r>
      <w:proofErr w:type="spellStart"/>
      <w:r>
        <w:t>torr</w:t>
      </w:r>
      <w:proofErr w:type="spellEnd"/>
      <w:r>
        <w:t>-L/s Argon)</w:t>
      </w:r>
    </w:p>
    <w:p w:rsidR="00780DB3" w:rsidRDefault="00780DB3" w:rsidP="00780DB3">
      <w:r>
        <w:rPr>
          <w:noProof/>
        </w:rPr>
        <w:drawing>
          <wp:inline distT="0" distB="0" distL="0" distR="0">
            <wp:extent cx="6089650" cy="291719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IGH QE PD AFTER BAKE WITH CAL LEAK.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89650" cy="2917190"/>
                    </a:xfrm>
                    <a:prstGeom prst="rect">
                      <a:avLst/>
                    </a:prstGeom>
                  </pic:spPr>
                </pic:pic>
              </a:graphicData>
            </a:graphic>
          </wp:inline>
        </w:drawing>
      </w:r>
    </w:p>
    <w:p w:rsidR="00780DB3" w:rsidRDefault="00780DB3" w:rsidP="00780DB3">
      <w:pPr>
        <w:pStyle w:val="Caption"/>
      </w:pPr>
      <w:r>
        <w:lastRenderedPageBreak/>
        <w:t xml:space="preserve">Table </w:t>
      </w:r>
      <w:fldSimple w:instr=" SEQ Table \* ARABIC ">
        <w:r w:rsidR="00FA0E4E">
          <w:rPr>
            <w:noProof/>
          </w:rPr>
          <w:t>1</w:t>
        </w:r>
      </w:fldSimple>
      <w:r>
        <w:t xml:space="preserve">: </w:t>
      </w:r>
      <w:r w:rsidR="00C46F3D">
        <w:t>Flag Hydrocarbons</w:t>
      </w:r>
    </w:p>
    <w:p w:rsidR="00C46F3D" w:rsidRPr="00C46F3D" w:rsidRDefault="00C46F3D" w:rsidP="00C46F3D">
      <w:r w:rsidRPr="00C46F3D">
        <w:drawing>
          <wp:inline distT="0" distB="0" distL="0" distR="0">
            <wp:extent cx="6089650" cy="478678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9650" cy="4786785"/>
                    </a:xfrm>
                    <a:prstGeom prst="rect">
                      <a:avLst/>
                    </a:prstGeom>
                    <a:noFill/>
                    <a:ln>
                      <a:noFill/>
                    </a:ln>
                  </pic:spPr>
                </pic:pic>
              </a:graphicData>
            </a:graphic>
          </wp:inline>
        </w:drawing>
      </w:r>
    </w:p>
    <w:p w:rsidR="001E4FA6" w:rsidRDefault="001E4FA6" w:rsidP="001E4FA6">
      <w:pPr>
        <w:pStyle w:val="Heading1"/>
      </w:pPr>
      <w:r>
        <w:t>Summary &amp; Recommendation</w:t>
      </w:r>
    </w:p>
    <w:p w:rsidR="00D2752B" w:rsidRDefault="00DE65AA" w:rsidP="00D5144C">
      <w:r>
        <w:t xml:space="preserve">The initially observed, apparent hydrocarbon contamination was pumped away during the 40C, 48 hour “bake”. No doubt the warm temperature accelerated the depletion of the outgassing. However it is our contention that this would occur even at room temperature (albeit over a longer period of time). The slightly elevated temperature should not have been high enough to activate any </w:t>
      </w:r>
      <w:r w:rsidR="00D2752B">
        <w:t xml:space="preserve">breakdown or decomposition of any high molecular weight hydrocarbons. Ideally more testing </w:t>
      </w:r>
      <w:r w:rsidR="001E4FA6">
        <w:t>w</w:t>
      </w:r>
      <w:r w:rsidR="00D2752B">
        <w:t xml:space="preserve">ould be conducted to verify this hypothesis. </w:t>
      </w:r>
      <w:r w:rsidR="001E4FA6">
        <w:t xml:space="preserve">For example, performing a long duration pump down test, without elevating the temperature, on another pair of photodiodes. </w:t>
      </w:r>
      <w:r w:rsidR="00D2752B">
        <w:t xml:space="preserve">However </w:t>
      </w:r>
      <w:r w:rsidR="00204F54">
        <w:t>(</w:t>
      </w:r>
      <w:proofErr w:type="spellStart"/>
      <w:r w:rsidR="00204F54">
        <w:t>i</w:t>
      </w:r>
      <w:proofErr w:type="spellEnd"/>
      <w:r w:rsidR="00204F54">
        <w:t xml:space="preserve">) </w:t>
      </w:r>
      <w:r w:rsidR="00D2752B">
        <w:t xml:space="preserve">the costs for each diode are high ($3.3K for each 3 mm PD), </w:t>
      </w:r>
      <w:r w:rsidR="00204F54">
        <w:t xml:space="preserve">(ii) </w:t>
      </w:r>
      <w:r w:rsidR="00D2752B">
        <w:t xml:space="preserve">the lead time for replacements is long (4 months) and </w:t>
      </w:r>
      <w:r w:rsidR="00204F54">
        <w:t xml:space="preserve">(iii) </w:t>
      </w:r>
      <w:r w:rsidR="00D2752B">
        <w:t xml:space="preserve">resolution </w:t>
      </w:r>
      <w:r w:rsidR="001E4FA6">
        <w:t xml:space="preserve">of vacuum preparation </w:t>
      </w:r>
      <w:r w:rsidR="00D2752B">
        <w:t>is urgen</w:t>
      </w:r>
      <w:r w:rsidR="001E4FA6">
        <w:t xml:space="preserve">tly needed since </w:t>
      </w:r>
      <w:r w:rsidR="00D2752B">
        <w:t xml:space="preserve">these PDs must be installed </w:t>
      </w:r>
      <w:r w:rsidR="001E4FA6">
        <w:t>very soon in support of ER9/O2</w:t>
      </w:r>
      <w:r w:rsidR="00D2752B">
        <w:t>.</w:t>
      </w:r>
    </w:p>
    <w:p w:rsidR="001E4FA6" w:rsidRDefault="001E4FA6" w:rsidP="001E4FA6">
      <w:r>
        <w:t>Given the</w:t>
      </w:r>
      <w:r>
        <w:t xml:space="preserve"> following considerations:</w:t>
      </w:r>
    </w:p>
    <w:p w:rsidR="001E4FA6" w:rsidRDefault="001E4FA6" w:rsidP="000C1E9C">
      <w:pPr>
        <w:pStyle w:val="ListParagraph"/>
        <w:numPr>
          <w:ilvl w:val="0"/>
          <w:numId w:val="36"/>
        </w:numPr>
      </w:pPr>
      <w:r>
        <w:t>legitimate concern of contaminating the active sur</w:t>
      </w:r>
      <w:r>
        <w:t>face of these high quantum efficiency photodiodes,</w:t>
      </w:r>
    </w:p>
    <w:p w:rsidR="001E4FA6" w:rsidRDefault="001E4FA6" w:rsidP="000C1E9C">
      <w:pPr>
        <w:pStyle w:val="ListParagraph"/>
        <w:numPr>
          <w:ilvl w:val="0"/>
          <w:numId w:val="36"/>
        </w:numPr>
      </w:pPr>
      <w:r>
        <w:t>small size and small quantity of these photodiodes</w:t>
      </w:r>
      <w:r w:rsidR="000C1E9C">
        <w:t xml:space="preserve"> (2 per interferometer),</w:t>
      </w:r>
    </w:p>
    <w:p w:rsidR="001E4FA6" w:rsidRDefault="001E4FA6" w:rsidP="000C1E9C">
      <w:pPr>
        <w:pStyle w:val="ListParagraph"/>
        <w:numPr>
          <w:ilvl w:val="0"/>
          <w:numId w:val="36"/>
        </w:numPr>
      </w:pPr>
      <w:r>
        <w:lastRenderedPageBreak/>
        <w:t>the fact that these photodiodes are installed in the HA</w:t>
      </w:r>
      <w:r w:rsidR="000C1E9C">
        <w:t>M6 chamber, (a vacuum volume separated from the main vacuum volumes)</w:t>
      </w:r>
    </w:p>
    <w:p w:rsidR="001E4FA6" w:rsidRDefault="000C1E9C" w:rsidP="00D5144C">
      <w:proofErr w:type="gramStart"/>
      <w:r>
        <w:t>we</w:t>
      </w:r>
      <w:proofErr w:type="gramEnd"/>
      <w:r>
        <w:t xml:space="preserve"> recommend </w:t>
      </w:r>
      <w:r w:rsidR="00857A58">
        <w:t xml:space="preserve">to the Vacuum Review Board (VRB) </w:t>
      </w:r>
      <w:r>
        <w:t xml:space="preserve">that these photodiodes be </w:t>
      </w:r>
      <w:r w:rsidR="00857A58">
        <w:t>cleaned as described above and not baked or RGA scanned.</w:t>
      </w:r>
    </w:p>
    <w:sectPr w:rsidR="001E4FA6">
      <w:headerReference w:type="default" r:id="rId21"/>
      <w:footerReference w:type="even" r:id="rId22"/>
      <w:footerReference w:type="default" r:id="rId23"/>
      <w:headerReference w:type="first" r:id="rId24"/>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BD3" w:rsidRDefault="000B7BD3">
      <w:r>
        <w:separator/>
      </w:r>
    </w:p>
  </w:endnote>
  <w:endnote w:type="continuationSeparator" w:id="0">
    <w:p w:rsidR="000B7BD3" w:rsidRDefault="000B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A0E4E">
      <w:rPr>
        <w:rStyle w:val="PageNumber"/>
      </w:rPr>
      <w:fldChar w:fldCharType="separate"/>
    </w:r>
    <w:r w:rsidR="00FA0E4E">
      <w:rPr>
        <w:rStyle w:val="PageNumber"/>
        <w:noProof/>
      </w:rPr>
      <w:t>9</w:t>
    </w:r>
    <w:r>
      <w:rPr>
        <w:rStyle w:val="PageNumber"/>
      </w:rPr>
      <w:fldChar w:fldCharType="end"/>
    </w:r>
  </w:p>
  <w:p w:rsidR="005F48B2" w:rsidRDefault="005F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A0E4E">
      <w:rPr>
        <w:rStyle w:val="PageNumber"/>
        <w:noProof/>
      </w:rPr>
      <w:t>9</w:t>
    </w:r>
    <w:r>
      <w:rPr>
        <w:rStyle w:val="PageNumber"/>
      </w:rPr>
      <w:fldChar w:fldCharType="end"/>
    </w:r>
  </w:p>
  <w:p w:rsidR="005F48B2" w:rsidRDefault="005F4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BD3" w:rsidRDefault="000B7BD3">
      <w:r>
        <w:separator/>
      </w:r>
    </w:p>
  </w:footnote>
  <w:footnote w:type="continuationSeparator" w:id="0">
    <w:p w:rsidR="000B7BD3" w:rsidRDefault="000B7BD3">
      <w:r>
        <w:continuationSeparator/>
      </w:r>
    </w:p>
  </w:footnote>
  <w:footnote w:id="1">
    <w:p w:rsidR="00AA576D" w:rsidRDefault="00AA576D">
      <w:pPr>
        <w:pStyle w:val="FootnoteText"/>
      </w:pPr>
      <w:r>
        <w:rPr>
          <w:rStyle w:val="FootnoteReference"/>
        </w:rPr>
        <w:footnoteRef/>
      </w:r>
      <w:r>
        <w:t xml:space="preserve"> Measured by Koji Arai and reported in the OMC </w:t>
      </w:r>
      <w:proofErr w:type="spellStart"/>
      <w:r>
        <w:t>elog</w:t>
      </w:r>
      <w:proofErr w:type="spellEnd"/>
      <w:r>
        <w:t xml:space="preserve">: </w:t>
      </w:r>
      <w:hyperlink r:id="rId1" w:history="1">
        <w:r w:rsidRPr="00AA576D">
          <w:rPr>
            <w:rStyle w:val="Hyperlink"/>
          </w:rPr>
          <w:t>http://nodus.ligo.caltech.edu:8080/OMC_Lab/247</w:t>
        </w:r>
      </w:hyperlink>
    </w:p>
  </w:footnote>
  <w:footnote w:id="2">
    <w:p w:rsidR="00F33796" w:rsidRDefault="00F33796">
      <w:pPr>
        <w:pStyle w:val="FootnoteText"/>
      </w:pPr>
      <w:r>
        <w:rPr>
          <w:rStyle w:val="FootnoteReference"/>
        </w:rPr>
        <w:footnoteRef/>
      </w:r>
      <w:r>
        <w:t xml:space="preserve"> Laser Components </w:t>
      </w:r>
      <w:proofErr w:type="spellStart"/>
      <w:r>
        <w:t>Inc</w:t>
      </w:r>
      <w:proofErr w:type="spellEnd"/>
      <w:r>
        <w:t>, www.lasercomponents.com/lc/IR-Detectors/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Header"/>
      <w:tabs>
        <w:tab w:val="clear" w:pos="4320"/>
        <w:tab w:val="center" w:pos="4680"/>
      </w:tabs>
      <w:jc w:val="left"/>
      <w:rPr>
        <w:sz w:val="20"/>
      </w:rPr>
    </w:pPr>
    <w:r>
      <w:rPr>
        <w:b/>
        <w:bCs/>
        <w:i/>
        <w:iCs/>
        <w:color w:val="0000FF"/>
        <w:sz w:val="20"/>
      </w:rPr>
      <w:t>LIGO</w:t>
    </w:r>
    <w:r w:rsidR="008E7496">
      <w:rPr>
        <w:sz w:val="20"/>
      </w:rPr>
      <w:tab/>
    </w:r>
    <w:proofErr w:type="spellStart"/>
    <w:r w:rsidR="008E7496">
      <w:rPr>
        <w:sz w:val="20"/>
      </w:rPr>
      <w:t>LIGO</w:t>
    </w:r>
    <w:proofErr w:type="spellEnd"/>
    <w:r w:rsidR="008E7496">
      <w:rPr>
        <w:sz w:val="20"/>
      </w:rPr>
      <w:t>-</w:t>
    </w:r>
    <w:r w:rsidR="00A36B86" w:rsidRPr="00A36B86">
      <w:t xml:space="preserve"> </w:t>
    </w:r>
    <w:r w:rsidR="00204F54" w:rsidRPr="00204F54">
      <w:rPr>
        <w:sz w:val="20"/>
      </w:rPr>
      <w:t>E1600086</w:t>
    </w:r>
    <w:r w:rsidR="00F5292B">
      <w:rPr>
        <w:sz w:val="20"/>
      </w:rPr>
      <w:t>-v1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Header"/>
      <w:jc w:val="right"/>
    </w:pPr>
    <w:r>
      <w:rPr>
        <w:b/>
        <w:caps/>
      </w:rPr>
      <w:t>Laser Interferometer Gravitational Wave Observatory</w:t>
    </w:r>
    <w:r>
      <w:rPr>
        <w:noProof/>
        <w:sz w:val="20"/>
      </w:rPr>
      <w:t xml:space="preserve"> </w:t>
    </w:r>
    <w:r w:rsidR="000B7BD3">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2015924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421241B"/>
    <w:multiLevelType w:val="hybridMultilevel"/>
    <w:tmpl w:val="A69C1E8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732C6"/>
    <w:multiLevelType w:val="hybridMultilevel"/>
    <w:tmpl w:val="48D4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2D0606E"/>
    <w:multiLevelType w:val="hybridMultilevel"/>
    <w:tmpl w:val="56C09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10FA3"/>
    <w:multiLevelType w:val="hybridMultilevel"/>
    <w:tmpl w:val="0040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FBD1F91"/>
    <w:multiLevelType w:val="hybridMultilevel"/>
    <w:tmpl w:val="44EE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8107CFC"/>
    <w:multiLevelType w:val="hybridMultilevel"/>
    <w:tmpl w:val="97D2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85DB9"/>
    <w:multiLevelType w:val="hybridMultilevel"/>
    <w:tmpl w:val="A1C0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A0F9B"/>
    <w:multiLevelType w:val="hybridMultilevel"/>
    <w:tmpl w:val="B14C67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A7781E"/>
    <w:multiLevelType w:val="hybridMultilevel"/>
    <w:tmpl w:val="D132F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C06D3"/>
    <w:multiLevelType w:val="hybridMultilevel"/>
    <w:tmpl w:val="FCB8C0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35A4475"/>
    <w:multiLevelType w:val="hybridMultilevel"/>
    <w:tmpl w:val="F00A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6E79723F"/>
    <w:multiLevelType w:val="hybridMultilevel"/>
    <w:tmpl w:val="7C86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8">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21"/>
  </w:num>
  <w:num w:numId="4">
    <w:abstractNumId w:val="3"/>
  </w:num>
  <w:num w:numId="5">
    <w:abstractNumId w:val="2"/>
  </w:num>
  <w:num w:numId="6">
    <w:abstractNumId w:val="6"/>
  </w:num>
  <w:num w:numId="7">
    <w:abstractNumId w:val="10"/>
  </w:num>
  <w:num w:numId="8">
    <w:abstractNumId w:val="19"/>
  </w:num>
  <w:num w:numId="9">
    <w:abstractNumId w:val="20"/>
  </w:num>
  <w:num w:numId="10">
    <w:abstractNumId w:val="27"/>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2"/>
  </w:num>
  <w:num w:numId="15">
    <w:abstractNumId w:val="25"/>
  </w:num>
  <w:num w:numId="16">
    <w:abstractNumId w:val="16"/>
  </w:num>
  <w:num w:numId="17">
    <w:abstractNumId w:val="12"/>
  </w:num>
  <w:num w:numId="18">
    <w:abstractNumId w:val="12"/>
  </w:num>
  <w:num w:numId="19">
    <w:abstractNumId w:val="12"/>
  </w:num>
  <w:num w:numId="20">
    <w:abstractNumId w:val="12"/>
  </w:num>
  <w:num w:numId="21">
    <w:abstractNumId w:val="12"/>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4"/>
  </w:num>
  <w:num w:numId="23">
    <w:abstractNumId w:val="2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8"/>
  </w:num>
  <w:num w:numId="25">
    <w:abstractNumId w:val="17"/>
  </w:num>
  <w:num w:numId="26">
    <w:abstractNumId w:val="13"/>
  </w:num>
  <w:num w:numId="27">
    <w:abstractNumId w:val="9"/>
  </w:num>
  <w:num w:numId="28">
    <w:abstractNumId w:val="23"/>
  </w:num>
  <w:num w:numId="29">
    <w:abstractNumId w:val="15"/>
  </w:num>
  <w:num w:numId="30">
    <w:abstractNumId w:val="4"/>
  </w:num>
  <w:num w:numId="31">
    <w:abstractNumId w:val="26"/>
  </w:num>
  <w:num w:numId="32">
    <w:abstractNumId w:val="11"/>
  </w:num>
  <w:num w:numId="33">
    <w:abstractNumId w:val="14"/>
  </w:num>
  <w:num w:numId="34">
    <w:abstractNumId w:val="18"/>
  </w:num>
  <w:num w:numId="35">
    <w:abstractNumId w:val="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3008"/>
    <w:rsid w:val="0001715C"/>
    <w:rsid w:val="0005784F"/>
    <w:rsid w:val="000610AC"/>
    <w:rsid w:val="000B6274"/>
    <w:rsid w:val="000B7BD3"/>
    <w:rsid w:val="000C1E9C"/>
    <w:rsid w:val="000C445A"/>
    <w:rsid w:val="000E4081"/>
    <w:rsid w:val="0011663F"/>
    <w:rsid w:val="00117C4D"/>
    <w:rsid w:val="00172C05"/>
    <w:rsid w:val="001B34BD"/>
    <w:rsid w:val="001C5CA0"/>
    <w:rsid w:val="001D7E78"/>
    <w:rsid w:val="001E4FA6"/>
    <w:rsid w:val="00204F54"/>
    <w:rsid w:val="00207FFB"/>
    <w:rsid w:val="002857C0"/>
    <w:rsid w:val="00344CC5"/>
    <w:rsid w:val="0036226E"/>
    <w:rsid w:val="00371324"/>
    <w:rsid w:val="003724AA"/>
    <w:rsid w:val="0038497C"/>
    <w:rsid w:val="003A437F"/>
    <w:rsid w:val="003A43EE"/>
    <w:rsid w:val="003A7772"/>
    <w:rsid w:val="003D725B"/>
    <w:rsid w:val="00405A56"/>
    <w:rsid w:val="00411C14"/>
    <w:rsid w:val="004150F2"/>
    <w:rsid w:val="00417066"/>
    <w:rsid w:val="00446839"/>
    <w:rsid w:val="004D5BA5"/>
    <w:rsid w:val="004E22C8"/>
    <w:rsid w:val="004F2A26"/>
    <w:rsid w:val="00502CF4"/>
    <w:rsid w:val="005114F8"/>
    <w:rsid w:val="00517777"/>
    <w:rsid w:val="005325C6"/>
    <w:rsid w:val="0054334E"/>
    <w:rsid w:val="00563A05"/>
    <w:rsid w:val="00572A39"/>
    <w:rsid w:val="005A346F"/>
    <w:rsid w:val="005A6D2C"/>
    <w:rsid w:val="005A79A2"/>
    <w:rsid w:val="005A7DF4"/>
    <w:rsid w:val="005C2EA3"/>
    <w:rsid w:val="005E13FE"/>
    <w:rsid w:val="005E413D"/>
    <w:rsid w:val="005E4BB6"/>
    <w:rsid w:val="005F07DF"/>
    <w:rsid w:val="005F48B2"/>
    <w:rsid w:val="005F635B"/>
    <w:rsid w:val="006813E8"/>
    <w:rsid w:val="00686BC5"/>
    <w:rsid w:val="006E2D99"/>
    <w:rsid w:val="006E31B9"/>
    <w:rsid w:val="00754BA1"/>
    <w:rsid w:val="00756179"/>
    <w:rsid w:val="00776291"/>
    <w:rsid w:val="00780DB3"/>
    <w:rsid w:val="0078145B"/>
    <w:rsid w:val="007B5809"/>
    <w:rsid w:val="007C370E"/>
    <w:rsid w:val="00832753"/>
    <w:rsid w:val="00843247"/>
    <w:rsid w:val="00847BA7"/>
    <w:rsid w:val="00857A58"/>
    <w:rsid w:val="00863CE1"/>
    <w:rsid w:val="00876102"/>
    <w:rsid w:val="00890CC6"/>
    <w:rsid w:val="008A1051"/>
    <w:rsid w:val="008A1D2F"/>
    <w:rsid w:val="008A268A"/>
    <w:rsid w:val="008B27DE"/>
    <w:rsid w:val="008B3F18"/>
    <w:rsid w:val="008E38EF"/>
    <w:rsid w:val="008E7496"/>
    <w:rsid w:val="00901F16"/>
    <w:rsid w:val="009022BF"/>
    <w:rsid w:val="00974E62"/>
    <w:rsid w:val="009965D3"/>
    <w:rsid w:val="009B119B"/>
    <w:rsid w:val="009D566E"/>
    <w:rsid w:val="009E6DA8"/>
    <w:rsid w:val="00A33AC3"/>
    <w:rsid w:val="00A36B86"/>
    <w:rsid w:val="00A448B1"/>
    <w:rsid w:val="00A63A93"/>
    <w:rsid w:val="00A86E0C"/>
    <w:rsid w:val="00AA03C8"/>
    <w:rsid w:val="00AA0CBA"/>
    <w:rsid w:val="00AA576D"/>
    <w:rsid w:val="00AB5E23"/>
    <w:rsid w:val="00AC76EE"/>
    <w:rsid w:val="00AC7DFF"/>
    <w:rsid w:val="00AE0863"/>
    <w:rsid w:val="00AF7E5E"/>
    <w:rsid w:val="00B44F49"/>
    <w:rsid w:val="00B6579C"/>
    <w:rsid w:val="00B911FC"/>
    <w:rsid w:val="00BB6819"/>
    <w:rsid w:val="00BC0506"/>
    <w:rsid w:val="00BC3D95"/>
    <w:rsid w:val="00BC5C31"/>
    <w:rsid w:val="00BD1289"/>
    <w:rsid w:val="00C26F5B"/>
    <w:rsid w:val="00C46F3D"/>
    <w:rsid w:val="00C87D2B"/>
    <w:rsid w:val="00CB5991"/>
    <w:rsid w:val="00CC3B9F"/>
    <w:rsid w:val="00CE7A1C"/>
    <w:rsid w:val="00CF616A"/>
    <w:rsid w:val="00D0019D"/>
    <w:rsid w:val="00D11EA6"/>
    <w:rsid w:val="00D2752B"/>
    <w:rsid w:val="00D5144C"/>
    <w:rsid w:val="00D8270F"/>
    <w:rsid w:val="00DE0684"/>
    <w:rsid w:val="00DE65AA"/>
    <w:rsid w:val="00DE67BC"/>
    <w:rsid w:val="00E271E7"/>
    <w:rsid w:val="00E41653"/>
    <w:rsid w:val="00E41FB4"/>
    <w:rsid w:val="00E66298"/>
    <w:rsid w:val="00E91E00"/>
    <w:rsid w:val="00EC0762"/>
    <w:rsid w:val="00F103CA"/>
    <w:rsid w:val="00F33796"/>
    <w:rsid w:val="00F5292B"/>
    <w:rsid w:val="00F65452"/>
    <w:rsid w:val="00F7767A"/>
    <w:rsid w:val="00FA006E"/>
    <w:rsid w:val="00FA0E4E"/>
    <w:rsid w:val="00FA42FE"/>
    <w:rsid w:val="00FB0E7F"/>
    <w:rsid w:val="00FB3668"/>
    <w:rsid w:val="00FB3DAE"/>
    <w:rsid w:val="00FB5C42"/>
    <w:rsid w:val="00FC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docId w15:val="{B01D328C-F7E5-4E0D-9B36-541C3CFD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F4"/>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rsid w:val="0005784F"/>
    <w:pPr>
      <w:keepNext/>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4D5BA5"/>
    <w:pPr>
      <w:ind w:left="720"/>
      <w:contextualSpacing/>
    </w:pPr>
  </w:style>
  <w:style w:type="table" w:styleId="TableGrid">
    <w:name w:val="Table Grid"/>
    <w:basedOn w:val="TableNormal"/>
    <w:rsid w:val="000C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C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6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C1500393" TargetMode="External"/><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cc.ligo.org/LIGO-E08017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cc.ligo.org/LIGO-D1500487"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odus.ligo.caltech.edu:8080/OMC_Lab/247"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08C2-FF81-42BA-8963-6A205098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coyne</cp:lastModifiedBy>
  <cp:revision>3</cp:revision>
  <cp:lastPrinted>2016-03-22T20:39:00Z</cp:lastPrinted>
  <dcterms:created xsi:type="dcterms:W3CDTF">2016-03-22T20:39:00Z</dcterms:created>
  <dcterms:modified xsi:type="dcterms:W3CDTF">2016-03-22T20:41:00Z</dcterms:modified>
</cp:coreProperties>
</file>