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04"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65"/>
        <w:gridCol w:w="7039"/>
      </w:tblGrid>
      <w:tr w:rsidR="00C22B7B" w:rsidRPr="000A79CE" w:rsidTr="004449B8">
        <w:tc>
          <w:tcPr>
            <w:tcW w:w="1049" w:type="dxa"/>
            <w:tcBorders>
              <w:top w:val="nil"/>
              <w:bottom w:val="nil"/>
            </w:tcBorders>
            <w:vAlign w:val="center"/>
          </w:tcPr>
          <w:p w:rsidR="00C22B7B" w:rsidRPr="00C22B7B" w:rsidRDefault="00C22B7B" w:rsidP="00C22B7B">
            <w:pPr>
              <w:ind w:firstLine="0"/>
              <w:jc w:val="right"/>
              <w:rPr>
                <w:rFonts w:asciiTheme="majorHAnsi" w:hAnsiTheme="majorHAnsi"/>
                <w:i/>
                <w:color w:val="17365D" w:themeColor="text2" w:themeShade="BF"/>
                <w:sz w:val="24"/>
                <w:szCs w:val="24"/>
              </w:rPr>
            </w:pPr>
            <w:r w:rsidRPr="00C22B7B">
              <w:rPr>
                <w:rFonts w:asciiTheme="majorHAnsi" w:hAnsiTheme="majorHAnsi"/>
                <w:i/>
                <w:color w:val="17365D" w:themeColor="text2" w:themeShade="BF"/>
                <w:sz w:val="24"/>
                <w:szCs w:val="24"/>
              </w:rPr>
              <w:t>Title</w:t>
            </w:r>
          </w:p>
        </w:tc>
        <w:tc>
          <w:tcPr>
            <w:tcW w:w="7055" w:type="dxa"/>
            <w:tcBorders>
              <w:top w:val="nil"/>
              <w:bottom w:val="nil"/>
            </w:tcBorders>
            <w:vAlign w:val="center"/>
          </w:tcPr>
          <w:p w:rsidR="00C22B7B" w:rsidRPr="00C22B7B" w:rsidRDefault="00021152" w:rsidP="004449B8">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Fast Shutter Beckhoff Interface</w:t>
            </w:r>
          </w:p>
        </w:tc>
      </w:tr>
      <w:tr w:rsidR="00C22B7B" w:rsidTr="004449B8">
        <w:tc>
          <w:tcPr>
            <w:tcW w:w="1049" w:type="dxa"/>
            <w:tcBorders>
              <w:top w:val="nil"/>
              <w:bottom w:val="nil"/>
            </w:tcBorders>
            <w:vAlign w:val="center"/>
          </w:tcPr>
          <w:p w:rsidR="00C22B7B" w:rsidRPr="00C22B7B" w:rsidRDefault="00AD560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Author</w:t>
            </w:r>
          </w:p>
        </w:tc>
        <w:tc>
          <w:tcPr>
            <w:tcW w:w="7055" w:type="dxa"/>
            <w:tcBorders>
              <w:top w:val="nil"/>
              <w:bottom w:val="nil"/>
            </w:tcBorders>
            <w:vAlign w:val="center"/>
          </w:tcPr>
          <w:p w:rsidR="00C22B7B" w:rsidRPr="00C22B7B" w:rsidRDefault="00AD560B"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R. Abbott, Caltech</w:t>
            </w:r>
          </w:p>
        </w:tc>
      </w:tr>
      <w:tr w:rsidR="00C22B7B" w:rsidTr="004449B8">
        <w:tc>
          <w:tcPr>
            <w:tcW w:w="1049" w:type="dxa"/>
            <w:tcBorders>
              <w:top w:val="nil"/>
              <w:bottom w:val="nil"/>
            </w:tcBorders>
            <w:vAlign w:val="center"/>
          </w:tcPr>
          <w:p w:rsidR="00C22B7B" w:rsidRDefault="00C22B7B"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Date</w:t>
            </w:r>
          </w:p>
          <w:p w:rsidR="00934C9E" w:rsidRDefault="00934C9E" w:rsidP="00C22B7B">
            <w:pPr>
              <w:ind w:firstLine="0"/>
              <w:jc w:val="right"/>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Updated</w:t>
            </w:r>
          </w:p>
        </w:tc>
        <w:tc>
          <w:tcPr>
            <w:tcW w:w="7055" w:type="dxa"/>
            <w:tcBorders>
              <w:top w:val="nil"/>
              <w:bottom w:val="nil"/>
            </w:tcBorders>
            <w:vAlign w:val="center"/>
          </w:tcPr>
          <w:p w:rsidR="00C22B7B" w:rsidRDefault="00F26477"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24</w:t>
            </w:r>
            <w:r w:rsidR="00021152">
              <w:rPr>
                <w:rFonts w:asciiTheme="majorHAnsi" w:hAnsiTheme="majorHAnsi"/>
                <w:i/>
                <w:color w:val="17365D" w:themeColor="text2" w:themeShade="BF"/>
                <w:sz w:val="24"/>
                <w:szCs w:val="24"/>
              </w:rPr>
              <w:t xml:space="preserve"> October</w:t>
            </w:r>
            <w:r w:rsidR="00AD560B">
              <w:rPr>
                <w:rFonts w:asciiTheme="majorHAnsi" w:hAnsiTheme="majorHAnsi"/>
                <w:i/>
                <w:color w:val="17365D" w:themeColor="text2" w:themeShade="BF"/>
                <w:sz w:val="24"/>
                <w:szCs w:val="24"/>
              </w:rPr>
              <w:t xml:space="preserve"> 2014</w:t>
            </w:r>
          </w:p>
          <w:p w:rsidR="00934C9E" w:rsidRPr="00C22B7B" w:rsidRDefault="00934C9E" w:rsidP="00C22B7B">
            <w:pPr>
              <w:ind w:firstLine="0"/>
              <w:rPr>
                <w:rFonts w:asciiTheme="majorHAnsi" w:hAnsiTheme="majorHAnsi"/>
                <w:i/>
                <w:color w:val="17365D" w:themeColor="text2" w:themeShade="BF"/>
                <w:sz w:val="24"/>
                <w:szCs w:val="24"/>
              </w:rPr>
            </w:pPr>
            <w:r>
              <w:rPr>
                <w:rFonts w:asciiTheme="majorHAnsi" w:hAnsiTheme="majorHAnsi"/>
                <w:i/>
                <w:color w:val="17365D" w:themeColor="text2" w:themeShade="BF"/>
                <w:sz w:val="24"/>
                <w:szCs w:val="24"/>
              </w:rPr>
              <w:t>7 August 2024 (Daniel Sigg)</w:t>
            </w:r>
          </w:p>
        </w:tc>
      </w:tr>
    </w:tbl>
    <w:p w:rsidR="00D34641" w:rsidRPr="00303C28" w:rsidRDefault="00234CB5" w:rsidP="00E428FF">
      <w:bookmarkStart w:id="0" w:name="_GoBack"/>
      <w:bookmarkEnd w:id="0"/>
      <w:r>
        <w:rPr>
          <w:noProof/>
        </w:rPr>
        <mc:AlternateContent>
          <mc:Choice Requires="wps">
            <w:drawing>
              <wp:anchor distT="0" distB="0" distL="114300" distR="114300" simplePos="0" relativeHeight="251659264" behindDoc="0" locked="0" layoutInCell="1" allowOverlap="1" wp14:anchorId="7F1976A4" wp14:editId="0EE95DB4">
                <wp:simplePos x="0" y="0"/>
                <wp:positionH relativeFrom="column">
                  <wp:posOffset>-119177</wp:posOffset>
                </wp:positionH>
                <wp:positionV relativeFrom="paragraph">
                  <wp:posOffset>116540</wp:posOffset>
                </wp:positionV>
                <wp:extent cx="5804403"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a:off x="0" y="0"/>
                          <a:ext cx="580440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A85F91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pt,9.2pt" to="447.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" strokecolor="#c0504d [3205]" strokeweight="2pt">
                <v:shadow on="t" color="black" opacity="24903f" origin=",.5" offset="0,.55556mm"/>
              </v:line>
            </w:pict>
          </mc:Fallback>
        </mc:AlternateContent>
      </w:r>
    </w:p>
    <w:p w:rsidR="003B65CC" w:rsidRPr="00AD560B" w:rsidRDefault="003B65CC" w:rsidP="004449B8">
      <w:pPr>
        <w:pStyle w:val="Heading1"/>
        <w:numPr>
          <w:ilvl w:val="0"/>
          <w:numId w:val="0"/>
        </w:numPr>
      </w:pPr>
      <w:r w:rsidRPr="00AD560B">
        <w:t>Overview</w:t>
      </w:r>
    </w:p>
    <w:p w:rsidR="009C241E" w:rsidRDefault="00241C81" w:rsidP="004449B8">
      <w:pPr>
        <w:ind w:left="360" w:firstLine="0"/>
      </w:pPr>
      <w:r>
        <w:t xml:space="preserve">The following note </w:t>
      </w:r>
      <w:r w:rsidR="005F121B">
        <w:t xml:space="preserve">provides </w:t>
      </w:r>
      <w:r>
        <w:t xml:space="preserve">details </w:t>
      </w:r>
      <w:r w:rsidR="005F121B">
        <w:t xml:space="preserve">on each of individual functions associated with </w:t>
      </w:r>
      <w:r>
        <w:t xml:space="preserve">the </w:t>
      </w:r>
      <w:r w:rsidR="005F121B">
        <w:t>Beckhoff interface on the ISC Ultra-fast Optical Shutter as presented in D1400177.  Refer to connection J</w:t>
      </w:r>
      <w:r w:rsidR="00B54D2F">
        <w:t>1</w:t>
      </w:r>
      <w:r w:rsidR="005F121B">
        <w:t xml:space="preserve"> on schematic D1300780 for details</w:t>
      </w:r>
      <w:r w:rsidR="00B54D2F">
        <w:t xml:space="preserve"> on the overall design.</w:t>
      </w:r>
      <w:r w:rsidR="00387CA7">
        <w:t xml:space="preserve">  E1300689 has the channel listing for the applicable Beckhoff channel assignments for Corner Station Controls Chassis 6.</w:t>
      </w:r>
    </w:p>
    <w:p w:rsidR="0057093F" w:rsidRDefault="00B54D2F" w:rsidP="004449B8">
      <w:pPr>
        <w:pStyle w:val="Heading1"/>
        <w:numPr>
          <w:ilvl w:val="0"/>
          <w:numId w:val="0"/>
        </w:numPr>
      </w:pPr>
      <w:r>
        <w:t>Connector Detail from D1300780</w:t>
      </w:r>
    </w:p>
    <w:p w:rsidR="00B54D2F" w:rsidRDefault="00B54D2F" w:rsidP="00B54D2F">
      <w:pPr>
        <w:ind w:firstLine="0"/>
        <w:jc w:val="center"/>
      </w:pPr>
    </w:p>
    <w:p w:rsidR="00BF4965" w:rsidRDefault="00BF4965" w:rsidP="00BF4965">
      <w:pPr>
        <w:pStyle w:val="Caption"/>
      </w:pPr>
      <w:r>
        <w:t xml:space="preserve">Figure </w:t>
      </w:r>
      <w:fldSimple w:instr=" SEQ Figure \* ARABIC ">
        <w:r>
          <w:rPr>
            <w:noProof/>
          </w:rPr>
          <w:t>1</w:t>
        </w:r>
      </w:fldSimple>
      <w:r>
        <w:t>, Beckhoff interface connector from shutter schematic</w:t>
      </w:r>
    </w:p>
    <w:p w:rsidR="00B54D2F" w:rsidRPr="004449B8" w:rsidRDefault="00B54D2F" w:rsidP="00B54D2F">
      <w:pPr>
        <w:ind w:firstLine="0"/>
        <w:jc w:val="center"/>
      </w:pPr>
      <w:r>
        <w:rPr>
          <w:noProof/>
        </w:rPr>
        <w:drawing>
          <wp:inline distT="0" distB="0" distL="0" distR="0" wp14:anchorId="29BC7A10" wp14:editId="3EA39014">
            <wp:extent cx="3131185" cy="2976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1185" cy="2976245"/>
                    </a:xfrm>
                    <a:prstGeom prst="rect">
                      <a:avLst/>
                    </a:prstGeom>
                    <a:noFill/>
                    <a:ln>
                      <a:noFill/>
                    </a:ln>
                  </pic:spPr>
                </pic:pic>
              </a:graphicData>
            </a:graphic>
          </wp:inline>
        </w:drawing>
      </w:r>
    </w:p>
    <w:p w:rsidR="0057093F" w:rsidRDefault="00B54D2F" w:rsidP="004449B8">
      <w:pPr>
        <w:pStyle w:val="Heading2"/>
        <w:numPr>
          <w:ilvl w:val="0"/>
          <w:numId w:val="0"/>
        </w:numPr>
      </w:pPr>
      <w:r>
        <w:t>Individual Pin Details</w:t>
      </w:r>
    </w:p>
    <w:p w:rsidR="000A79CE" w:rsidRDefault="000A79CE" w:rsidP="00BF4965">
      <w:pPr>
        <w:pStyle w:val="Caption"/>
      </w:pPr>
    </w:p>
    <w:p w:rsidR="000A79CE" w:rsidRDefault="000A79CE" w:rsidP="00BF4965">
      <w:pPr>
        <w:pStyle w:val="Caption"/>
      </w:pPr>
      <w:r>
        <w:t xml:space="preserve">Table </w:t>
      </w:r>
      <w:fldSimple w:instr=" SEQ Table \* ARABIC ">
        <w:r w:rsidR="008D6B32">
          <w:rPr>
            <w:noProof/>
          </w:rPr>
          <w:t>1</w:t>
        </w:r>
      </w:fldSimple>
      <w:r>
        <w:t xml:space="preserve"> </w:t>
      </w:r>
      <w:r w:rsidR="00B54D2F">
        <w:t>Pin Functions</w:t>
      </w:r>
    </w:p>
    <w:tbl>
      <w:tblPr>
        <w:tblStyle w:val="TableGrid"/>
        <w:tblW w:w="0" w:type="auto"/>
        <w:jc w:val="center"/>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28"/>
        <w:gridCol w:w="1494"/>
        <w:gridCol w:w="2261"/>
        <w:gridCol w:w="4073"/>
      </w:tblGrid>
      <w:tr w:rsidR="00B54D2F" w:rsidRPr="000A79CE" w:rsidTr="00BF4965">
        <w:trPr>
          <w:jc w:val="center"/>
        </w:trPr>
        <w:tc>
          <w:tcPr>
            <w:tcW w:w="1028" w:type="dxa"/>
            <w:vAlign w:val="center"/>
          </w:tcPr>
          <w:p w:rsidR="00BF4965" w:rsidRDefault="00B54D2F" w:rsidP="00B54D2F">
            <w:pPr>
              <w:ind w:firstLine="0"/>
              <w:jc w:val="center"/>
              <w:rPr>
                <w:b/>
                <w:color w:val="17365D" w:themeColor="text2" w:themeShade="BF"/>
              </w:rPr>
            </w:pPr>
            <w:r>
              <w:rPr>
                <w:b/>
                <w:color w:val="17365D" w:themeColor="text2" w:themeShade="BF"/>
              </w:rPr>
              <w:t xml:space="preserve">Pin </w:t>
            </w:r>
          </w:p>
          <w:p w:rsidR="00B54D2F" w:rsidRPr="000A79CE" w:rsidRDefault="00B54D2F" w:rsidP="00B54D2F">
            <w:pPr>
              <w:ind w:firstLine="0"/>
              <w:jc w:val="center"/>
              <w:rPr>
                <w:b/>
                <w:color w:val="17365D" w:themeColor="text2" w:themeShade="BF"/>
              </w:rPr>
            </w:pPr>
            <w:r>
              <w:rPr>
                <w:b/>
                <w:color w:val="17365D" w:themeColor="text2" w:themeShade="BF"/>
              </w:rPr>
              <w:t>Number</w:t>
            </w:r>
          </w:p>
        </w:tc>
        <w:tc>
          <w:tcPr>
            <w:tcW w:w="1494" w:type="dxa"/>
          </w:tcPr>
          <w:p w:rsidR="00B54D2F" w:rsidRDefault="00B54D2F" w:rsidP="004449B8">
            <w:pPr>
              <w:ind w:firstLine="0"/>
              <w:jc w:val="center"/>
              <w:rPr>
                <w:b/>
                <w:color w:val="17365D" w:themeColor="text2" w:themeShade="BF"/>
              </w:rPr>
            </w:pPr>
            <w:r>
              <w:rPr>
                <w:b/>
                <w:color w:val="17365D" w:themeColor="text2" w:themeShade="BF"/>
              </w:rPr>
              <w:t>Pin Name</w:t>
            </w:r>
          </w:p>
        </w:tc>
        <w:tc>
          <w:tcPr>
            <w:tcW w:w="2261" w:type="dxa"/>
            <w:vAlign w:val="center"/>
          </w:tcPr>
          <w:p w:rsidR="00B54D2F" w:rsidRPr="000A79CE" w:rsidRDefault="00B54D2F" w:rsidP="004449B8">
            <w:pPr>
              <w:ind w:firstLine="0"/>
              <w:jc w:val="center"/>
              <w:rPr>
                <w:b/>
                <w:color w:val="17365D" w:themeColor="text2" w:themeShade="BF"/>
              </w:rPr>
            </w:pPr>
            <w:r>
              <w:rPr>
                <w:b/>
                <w:color w:val="17365D" w:themeColor="text2" w:themeShade="BF"/>
              </w:rPr>
              <w:t>Type</w:t>
            </w:r>
          </w:p>
        </w:tc>
        <w:tc>
          <w:tcPr>
            <w:tcW w:w="4073" w:type="dxa"/>
            <w:vAlign w:val="center"/>
          </w:tcPr>
          <w:p w:rsidR="00B54D2F" w:rsidRPr="000A79CE" w:rsidRDefault="00B54D2F" w:rsidP="004449B8">
            <w:pPr>
              <w:ind w:firstLine="0"/>
              <w:jc w:val="center"/>
              <w:rPr>
                <w:b/>
                <w:color w:val="17365D" w:themeColor="text2" w:themeShade="BF"/>
              </w:rPr>
            </w:pPr>
            <w:r>
              <w:rPr>
                <w:b/>
                <w:color w:val="17365D" w:themeColor="text2" w:themeShade="BF"/>
              </w:rPr>
              <w:t>Functional Details</w:t>
            </w:r>
          </w:p>
        </w:tc>
      </w:tr>
      <w:tr w:rsidR="00B54D2F" w:rsidTr="00A53192">
        <w:trPr>
          <w:cantSplit/>
          <w:jc w:val="center"/>
        </w:trPr>
        <w:tc>
          <w:tcPr>
            <w:tcW w:w="1028" w:type="dxa"/>
            <w:vAlign w:val="center"/>
          </w:tcPr>
          <w:p w:rsidR="00B54D2F" w:rsidRDefault="00B54D2F" w:rsidP="004449B8">
            <w:pPr>
              <w:ind w:firstLine="0"/>
              <w:jc w:val="center"/>
            </w:pPr>
            <w:r>
              <w:t>1</w:t>
            </w:r>
          </w:p>
        </w:tc>
        <w:tc>
          <w:tcPr>
            <w:tcW w:w="1494" w:type="dxa"/>
            <w:vAlign w:val="center"/>
          </w:tcPr>
          <w:p w:rsidR="00B54D2F" w:rsidRDefault="00B54D2F" w:rsidP="00913FC0">
            <w:pPr>
              <w:ind w:firstLine="0"/>
              <w:jc w:val="center"/>
            </w:pPr>
            <w:r>
              <w:t>HVReadyMon</w:t>
            </w:r>
          </w:p>
        </w:tc>
        <w:tc>
          <w:tcPr>
            <w:tcW w:w="2261" w:type="dxa"/>
            <w:vAlign w:val="center"/>
          </w:tcPr>
          <w:p w:rsidR="00B54D2F" w:rsidRDefault="00B54D2F" w:rsidP="00B54D2F">
            <w:pPr>
              <w:ind w:firstLine="0"/>
              <w:jc w:val="center"/>
            </w:pPr>
            <w:r>
              <w:t>Beckhoff Binary Input</w:t>
            </w:r>
          </w:p>
        </w:tc>
        <w:tc>
          <w:tcPr>
            <w:tcW w:w="4073" w:type="dxa"/>
            <w:vAlign w:val="center"/>
          </w:tcPr>
          <w:p w:rsidR="00B54D2F" w:rsidRDefault="00BF4965" w:rsidP="00021152">
            <w:pPr>
              <w:ind w:firstLine="0"/>
            </w:pPr>
            <w:r>
              <w:t>This pin actively pulls low when the energy storage capacitors are charged</w:t>
            </w:r>
            <w:r w:rsidR="00021152">
              <w:t xml:space="preserve"> above a firmware threshold.  Firing the shutter before the capacitors are fully charged is prohibited in the shutter driver circuitry as damage may occur to the </w:t>
            </w:r>
            <w:r w:rsidR="00A53192">
              <w:t>moveable coil in the shutter</w:t>
            </w:r>
          </w:p>
        </w:tc>
      </w:tr>
      <w:tr w:rsidR="00B54D2F" w:rsidTr="00A53192">
        <w:trPr>
          <w:cantSplit/>
          <w:jc w:val="center"/>
        </w:trPr>
        <w:tc>
          <w:tcPr>
            <w:tcW w:w="1028" w:type="dxa"/>
            <w:vAlign w:val="center"/>
          </w:tcPr>
          <w:p w:rsidR="00B54D2F" w:rsidRDefault="00B54D2F" w:rsidP="004449B8">
            <w:pPr>
              <w:ind w:firstLine="0"/>
              <w:jc w:val="center"/>
            </w:pPr>
            <w:r>
              <w:t>2</w:t>
            </w:r>
          </w:p>
        </w:tc>
        <w:tc>
          <w:tcPr>
            <w:tcW w:w="1494" w:type="dxa"/>
            <w:vAlign w:val="center"/>
          </w:tcPr>
          <w:p w:rsidR="00B54D2F" w:rsidRDefault="00B54D2F" w:rsidP="00913FC0">
            <w:pPr>
              <w:ind w:firstLine="0"/>
              <w:jc w:val="center"/>
            </w:pPr>
            <w:r>
              <w:t>StatusMon</w:t>
            </w:r>
          </w:p>
        </w:tc>
        <w:tc>
          <w:tcPr>
            <w:tcW w:w="2261" w:type="dxa"/>
            <w:vAlign w:val="center"/>
          </w:tcPr>
          <w:p w:rsidR="00B54D2F" w:rsidRDefault="00B54D2F" w:rsidP="00B54D2F">
            <w:pPr>
              <w:ind w:firstLine="0"/>
              <w:jc w:val="center"/>
            </w:pPr>
            <w:r>
              <w:t>Beckhoff Binary Input</w:t>
            </w:r>
          </w:p>
        </w:tc>
        <w:tc>
          <w:tcPr>
            <w:tcW w:w="4073" w:type="dxa"/>
            <w:vAlign w:val="center"/>
          </w:tcPr>
          <w:p w:rsidR="00B54D2F" w:rsidRDefault="00BF4965" w:rsidP="00BF4965">
            <w:pPr>
              <w:ind w:firstLine="0"/>
            </w:pPr>
            <w:r>
              <w:t>This pin actively pulls low when the shutter is commanded to be in the UP or blocking state</w:t>
            </w:r>
          </w:p>
        </w:tc>
      </w:tr>
      <w:tr w:rsidR="00B54D2F" w:rsidTr="00A53192">
        <w:trPr>
          <w:cantSplit/>
          <w:jc w:val="center"/>
        </w:trPr>
        <w:tc>
          <w:tcPr>
            <w:tcW w:w="1028" w:type="dxa"/>
            <w:vAlign w:val="center"/>
          </w:tcPr>
          <w:p w:rsidR="00B54D2F" w:rsidRDefault="00B54D2F" w:rsidP="004449B8">
            <w:pPr>
              <w:ind w:firstLine="0"/>
              <w:jc w:val="center"/>
            </w:pPr>
            <w:r>
              <w:lastRenderedPageBreak/>
              <w:t>3</w:t>
            </w:r>
          </w:p>
        </w:tc>
        <w:tc>
          <w:tcPr>
            <w:tcW w:w="1494" w:type="dxa"/>
            <w:vAlign w:val="center"/>
          </w:tcPr>
          <w:p w:rsidR="00B54D2F" w:rsidRDefault="00B54D2F" w:rsidP="00913FC0">
            <w:pPr>
              <w:ind w:firstLine="0"/>
              <w:jc w:val="center"/>
            </w:pPr>
            <w:r>
              <w:t>FaultMon</w:t>
            </w:r>
          </w:p>
        </w:tc>
        <w:tc>
          <w:tcPr>
            <w:tcW w:w="2261" w:type="dxa"/>
            <w:vAlign w:val="center"/>
          </w:tcPr>
          <w:p w:rsidR="00B54D2F" w:rsidRDefault="00B54D2F" w:rsidP="00B54D2F">
            <w:pPr>
              <w:ind w:firstLine="0"/>
              <w:jc w:val="center"/>
            </w:pPr>
            <w:r>
              <w:t>Beckhoff Binary Input</w:t>
            </w:r>
          </w:p>
        </w:tc>
        <w:tc>
          <w:tcPr>
            <w:tcW w:w="4073" w:type="dxa"/>
            <w:vAlign w:val="center"/>
          </w:tcPr>
          <w:p w:rsidR="00B54D2F" w:rsidRDefault="00BF4965" w:rsidP="00A53192">
            <w:pPr>
              <w:ind w:firstLine="0"/>
            </w:pPr>
            <w:r>
              <w:t xml:space="preserve">This pin actively pulls low </w:t>
            </w:r>
            <w:r w:rsidR="00A15DE6">
              <w:t>if any fault condition exists:  Input trigger cable disconnected</w:t>
            </w:r>
            <w:r w:rsidR="00A53192">
              <w:t>,</w:t>
            </w:r>
            <w:r w:rsidR="00A15DE6">
              <w:t xml:space="preserve"> shutter controller unpowered, </w:t>
            </w:r>
            <w:r w:rsidR="00A53192">
              <w:t>o</w:t>
            </w:r>
            <w:r w:rsidR="00A15DE6">
              <w:t xml:space="preserve">utput cable to fast shutter disconnected, or </w:t>
            </w:r>
            <w:r w:rsidR="00A53192">
              <w:t>any</w:t>
            </w:r>
            <w:r w:rsidR="002A27C4">
              <w:t xml:space="preserve"> </w:t>
            </w:r>
            <w:r w:rsidR="00A15DE6">
              <w:t>internal low voltage power supply more than 10% out of specification</w:t>
            </w:r>
          </w:p>
        </w:tc>
      </w:tr>
      <w:tr w:rsidR="00B54D2F" w:rsidTr="005616A2">
        <w:trPr>
          <w:cantSplit/>
          <w:jc w:val="center"/>
        </w:trPr>
        <w:tc>
          <w:tcPr>
            <w:tcW w:w="1028" w:type="dxa"/>
            <w:vAlign w:val="center"/>
          </w:tcPr>
          <w:p w:rsidR="00B54D2F" w:rsidRDefault="00B54D2F" w:rsidP="004449B8">
            <w:pPr>
              <w:ind w:firstLine="0"/>
              <w:jc w:val="center"/>
            </w:pPr>
            <w:r>
              <w:t>9</w:t>
            </w:r>
          </w:p>
        </w:tc>
        <w:tc>
          <w:tcPr>
            <w:tcW w:w="1494" w:type="dxa"/>
            <w:vAlign w:val="center"/>
          </w:tcPr>
          <w:p w:rsidR="00B54D2F" w:rsidRDefault="00B54D2F" w:rsidP="00913FC0">
            <w:pPr>
              <w:ind w:firstLine="0"/>
              <w:jc w:val="center"/>
            </w:pPr>
            <w:r>
              <w:t>UpDriveIn</w:t>
            </w:r>
          </w:p>
        </w:tc>
        <w:tc>
          <w:tcPr>
            <w:tcW w:w="2261" w:type="dxa"/>
            <w:vAlign w:val="center"/>
          </w:tcPr>
          <w:p w:rsidR="00B54D2F" w:rsidRDefault="00B54D2F" w:rsidP="004449B8">
            <w:pPr>
              <w:ind w:firstLine="0"/>
              <w:jc w:val="center"/>
            </w:pPr>
            <w:r>
              <w:t>Beckhoff Binary Output</w:t>
            </w:r>
          </w:p>
        </w:tc>
        <w:tc>
          <w:tcPr>
            <w:tcW w:w="4073" w:type="dxa"/>
            <w:vAlign w:val="center"/>
          </w:tcPr>
          <w:p w:rsidR="00B54D2F" w:rsidRDefault="005616A2" w:rsidP="005616A2">
            <w:pPr>
              <w:ind w:firstLine="0"/>
            </w:pPr>
            <w:r>
              <w:t>On the rising edge of a</w:t>
            </w:r>
            <w:r w:rsidR="00A15DE6">
              <w:t xml:space="preserve"> logic high</w:t>
            </w:r>
            <w:r>
              <w:t xml:space="preserve"> input</w:t>
            </w:r>
            <w:r w:rsidR="00A15DE6">
              <w:t xml:space="preserve"> (</w:t>
            </w:r>
            <w:r>
              <w:t xml:space="preserve">where high is in the range of </w:t>
            </w:r>
            <w:r w:rsidR="00A15DE6">
              <w:t xml:space="preserve">5 to 24VDC) </w:t>
            </w:r>
            <w:r>
              <w:t>the shutter moves to its blocking or UP position</w:t>
            </w:r>
            <w:r w:rsidR="00FF57F3">
              <w:t xml:space="preserve"> in a low current mode that can be sustained indefinitely</w:t>
            </w:r>
            <w:r>
              <w:t>.  On the falling edge, the shutter returns back to the DOWN or not-blocking position</w:t>
            </w:r>
            <w:r w:rsidR="00FF57F3">
              <w:t xml:space="preserve"> by the restoring force of gravity alone</w:t>
            </w:r>
            <w:r>
              <w:t>.  After a fast trigger event, the shutter will latch into a blocking (UP) state.  A strobe of this input is necessary to reset the shutter to the not-blocking (DOWN) state</w:t>
            </w:r>
          </w:p>
        </w:tc>
      </w:tr>
      <w:tr w:rsidR="00B54D2F" w:rsidTr="00A53192">
        <w:trPr>
          <w:cantSplit/>
          <w:jc w:val="center"/>
        </w:trPr>
        <w:tc>
          <w:tcPr>
            <w:tcW w:w="1028" w:type="dxa"/>
            <w:vAlign w:val="center"/>
          </w:tcPr>
          <w:p w:rsidR="00B54D2F" w:rsidRDefault="00B54D2F" w:rsidP="004449B8">
            <w:pPr>
              <w:ind w:firstLine="0"/>
              <w:jc w:val="center"/>
            </w:pPr>
            <w:r>
              <w:t>10</w:t>
            </w:r>
          </w:p>
        </w:tc>
        <w:tc>
          <w:tcPr>
            <w:tcW w:w="1494" w:type="dxa"/>
            <w:vAlign w:val="center"/>
          </w:tcPr>
          <w:p w:rsidR="00B54D2F" w:rsidRDefault="00B54D2F" w:rsidP="00913FC0">
            <w:pPr>
              <w:ind w:firstLine="0"/>
              <w:jc w:val="center"/>
            </w:pPr>
            <w:r>
              <w:t>DownDriveIn</w:t>
            </w:r>
          </w:p>
        </w:tc>
        <w:tc>
          <w:tcPr>
            <w:tcW w:w="2261" w:type="dxa"/>
            <w:vAlign w:val="center"/>
          </w:tcPr>
          <w:p w:rsidR="00B54D2F" w:rsidRDefault="00B54D2F" w:rsidP="004449B8">
            <w:pPr>
              <w:ind w:firstLine="0"/>
              <w:jc w:val="center"/>
            </w:pPr>
            <w:r>
              <w:t>Beckhoff Binary Output</w:t>
            </w:r>
          </w:p>
        </w:tc>
        <w:tc>
          <w:tcPr>
            <w:tcW w:w="4073" w:type="dxa"/>
            <w:vAlign w:val="center"/>
          </w:tcPr>
          <w:p w:rsidR="00B54D2F" w:rsidRDefault="005616A2" w:rsidP="00FF57F3">
            <w:pPr>
              <w:ind w:firstLine="0"/>
            </w:pPr>
            <w:r>
              <w:t xml:space="preserve">On the rising edge of a logic high input (where high is in the range of 5 to 24VDC) a 20mSec pulse is applied in the </w:t>
            </w:r>
            <w:r w:rsidR="00FF57F3">
              <w:t>DOWN</w:t>
            </w:r>
            <w:r>
              <w:t xml:space="preserve"> direction to reseat the shutter in the event it ever gets stuck in the UP or blocking state.  It is unlikely that this input will be used often as the shutter should restore by gravity alone.  This is a last ditch option</w:t>
            </w:r>
          </w:p>
        </w:tc>
      </w:tr>
    </w:tbl>
    <w:p w:rsidR="00BF4965" w:rsidRDefault="00BF4965" w:rsidP="004449B8">
      <w:pPr>
        <w:ind w:left="360" w:firstLine="0"/>
      </w:pPr>
    </w:p>
    <w:p w:rsidR="0057093F" w:rsidRDefault="00B54D2F" w:rsidP="00021152">
      <w:pPr>
        <w:pStyle w:val="Heading1"/>
        <w:numPr>
          <w:ilvl w:val="0"/>
          <w:numId w:val="0"/>
        </w:numPr>
      </w:pPr>
      <w:r>
        <w:t>Interface Circuit Details</w:t>
      </w:r>
    </w:p>
    <w:p w:rsidR="001A0E81" w:rsidRDefault="00B54D2F" w:rsidP="004449B8">
      <w:pPr>
        <w:ind w:left="360" w:firstLine="0"/>
      </w:pPr>
      <w:r>
        <w:t>The Ultra-fast Shutter uses the following circuits for the Beckhoff interfaces:</w:t>
      </w:r>
    </w:p>
    <w:p w:rsidR="00BF4965" w:rsidRDefault="00BF4965" w:rsidP="004449B8">
      <w:pPr>
        <w:ind w:left="360" w:firstLine="0"/>
      </w:pPr>
    </w:p>
    <w:p w:rsidR="00BF4965" w:rsidRDefault="00BF4965" w:rsidP="00BF4965">
      <w:pPr>
        <w:pStyle w:val="Caption"/>
      </w:pPr>
      <w:r>
        <w:t xml:space="preserve">Figure </w:t>
      </w:r>
      <w:fldSimple w:instr=" SEQ Figure \* ARABIC ">
        <w:r>
          <w:rPr>
            <w:noProof/>
          </w:rPr>
          <w:t>2</w:t>
        </w:r>
      </w:fldSimple>
      <w:r>
        <w:t>, Shutter status monitor output circuit to Beckhoff binary input.  The right hand side of the schematic goes to the Beckhoff interface</w:t>
      </w:r>
    </w:p>
    <w:p w:rsidR="00BF4965" w:rsidRDefault="00BF4965" w:rsidP="00BF4965">
      <w:pPr>
        <w:ind w:firstLine="0"/>
        <w:jc w:val="center"/>
      </w:pPr>
      <w:r>
        <w:rPr>
          <w:noProof/>
        </w:rPr>
        <w:drawing>
          <wp:inline distT="0" distB="0" distL="0" distR="0" wp14:anchorId="23DB280F" wp14:editId="299C844B">
            <wp:extent cx="5486400" cy="15084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508493"/>
                    </a:xfrm>
                    <a:prstGeom prst="rect">
                      <a:avLst/>
                    </a:prstGeom>
                    <a:noFill/>
                    <a:ln>
                      <a:noFill/>
                    </a:ln>
                  </pic:spPr>
                </pic:pic>
              </a:graphicData>
            </a:graphic>
          </wp:inline>
        </w:drawing>
      </w:r>
    </w:p>
    <w:p w:rsidR="00BF4965" w:rsidRDefault="00BF4965" w:rsidP="00BF4965">
      <w:pPr>
        <w:ind w:firstLine="0"/>
        <w:jc w:val="center"/>
      </w:pPr>
    </w:p>
    <w:p w:rsidR="00BF4965" w:rsidRDefault="00BF4965" w:rsidP="00BF4965">
      <w:pPr>
        <w:pStyle w:val="Caption"/>
      </w:pPr>
      <w:r>
        <w:t xml:space="preserve">Figure </w:t>
      </w:r>
      <w:fldSimple w:instr=" SEQ Figure \* ARABIC ">
        <w:r>
          <w:rPr>
            <w:noProof/>
          </w:rPr>
          <w:t>3</w:t>
        </w:r>
      </w:fldSimple>
      <w:r>
        <w:t xml:space="preserve">, </w:t>
      </w:r>
      <w:r w:rsidRPr="00BF4965">
        <w:t>Shutter</w:t>
      </w:r>
      <w:r>
        <w:t xml:space="preserve"> input circuitry receiving an input on the left hand side from the Beckhoff interface</w:t>
      </w:r>
    </w:p>
    <w:p w:rsidR="00BF4965" w:rsidRDefault="00BF4965" w:rsidP="00BF4965">
      <w:pPr>
        <w:ind w:firstLine="0"/>
        <w:jc w:val="center"/>
      </w:pPr>
      <w:r>
        <w:rPr>
          <w:noProof/>
        </w:rPr>
        <w:drawing>
          <wp:inline distT="0" distB="0" distL="0" distR="0" wp14:anchorId="748BF79A" wp14:editId="38A6BE4A">
            <wp:extent cx="3761105" cy="1061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1105" cy="1061085"/>
                    </a:xfrm>
                    <a:prstGeom prst="rect">
                      <a:avLst/>
                    </a:prstGeom>
                    <a:noFill/>
                    <a:ln>
                      <a:noFill/>
                    </a:ln>
                  </pic:spPr>
                </pic:pic>
              </a:graphicData>
            </a:graphic>
          </wp:inline>
        </w:drawing>
      </w:r>
    </w:p>
    <w:p w:rsidR="007A0565" w:rsidRDefault="007A0565" w:rsidP="004449B8">
      <w:pPr>
        <w:ind w:left="360" w:firstLine="0"/>
      </w:pPr>
    </w:p>
    <w:p w:rsidR="00C46103" w:rsidRDefault="00021152" w:rsidP="004449B8">
      <w:pPr>
        <w:pStyle w:val="Heading1"/>
        <w:numPr>
          <w:ilvl w:val="0"/>
          <w:numId w:val="0"/>
        </w:numPr>
      </w:pPr>
      <w:r>
        <w:lastRenderedPageBreak/>
        <w:t>Miscellaneous Operational Details</w:t>
      </w:r>
    </w:p>
    <w:p w:rsidR="007D398D" w:rsidRDefault="00021152" w:rsidP="0032748F">
      <w:r>
        <w:t>The architecture of the Ultra-fast Optical Shutter driver circuit D1300780</w:t>
      </w:r>
      <w:r w:rsidR="0032748F">
        <w:t xml:space="preserve"> is such that various states are prohibited in order to protect the underlying circuitry.  For example, if a command to fire the shutter </w:t>
      </w:r>
      <w:r w:rsidR="00FF57F3">
        <w:t>UP</w:t>
      </w:r>
      <w:r w:rsidR="0032748F">
        <w:t xml:space="preserve"> were issued at the same time as a </w:t>
      </w:r>
      <w:r w:rsidR="00FF57F3">
        <w:t>DOWN</w:t>
      </w:r>
      <w:r w:rsidR="0032748F">
        <w:t xml:space="preserve"> pulse, or low current U</w:t>
      </w:r>
      <w:r w:rsidR="00FF57F3">
        <w:t>pDriveIn</w:t>
      </w:r>
      <w:r w:rsidR="0032748F">
        <w:t xml:space="preserve"> command, the high voltage pulse could be applied to low voltage elements of the circuit causing immediate destruction of the shutter driver.</w:t>
      </w:r>
    </w:p>
    <w:p w:rsidR="0032748F" w:rsidRDefault="0032748F" w:rsidP="0032748F">
      <w:r>
        <w:t xml:space="preserve">Considerable thought went into the </w:t>
      </w:r>
      <w:r w:rsidR="00FF57F3">
        <w:t xml:space="preserve">operational </w:t>
      </w:r>
      <w:r>
        <w:t xml:space="preserve">state machine logic of the shutter.  A consequence of this is that after a fast pulse, the shutter holds in the UP position until a strobe of the </w:t>
      </w:r>
      <w:r w:rsidR="00FF57F3">
        <w:t xml:space="preserve">UpDriveIn </w:t>
      </w:r>
      <w:r>
        <w:t>command input is applied.</w:t>
      </w:r>
      <w:r w:rsidR="00FF57F3">
        <w:t xml:space="preserve">  After the strobe, the shutter will fall by gravity back into its DOWN position and is once again available to receive fast triggers from the shutter controller input.</w:t>
      </w:r>
    </w:p>
    <w:p w:rsidR="00CE37B5" w:rsidRDefault="00CE37B5" w:rsidP="00CE37B5">
      <w:pPr>
        <w:pStyle w:val="Heading1"/>
        <w:numPr>
          <w:ilvl w:val="0"/>
          <w:numId w:val="0"/>
        </w:numPr>
      </w:pPr>
      <w:r>
        <w:t>Support for 2 Fast Shutter Controllers</w:t>
      </w:r>
    </w:p>
    <w:p w:rsidR="00CE37B5" w:rsidRDefault="00CE37B5" w:rsidP="00CE37B5">
      <w:r>
        <w:t xml:space="preserve">As part of the BHD upgrade 2 fast shutters are required. The controls of the 2 shutter has been combined into a single DB37 cable on the Beckhoff side (see </w:t>
      </w:r>
      <w:hyperlink r:id="rId10" w:history="1">
        <w:r w:rsidRPr="00CE37B5">
          <w:rPr>
            <w:rStyle w:val="Hyperlink"/>
          </w:rPr>
          <w:t>E1300688</w:t>
        </w:r>
      </w:hyperlink>
      <w:r>
        <w:t xml:space="preserve">). The cable is then split by the </w:t>
      </w:r>
      <w:r w:rsidRPr="00CE37B5">
        <w:t>OMC PZT and Fast Shutter</w:t>
      </w:r>
      <w:r>
        <w:t xml:space="preserve"> Concentrator (</w:t>
      </w:r>
      <w:hyperlink r:id="rId11" w:history="1">
        <w:r w:rsidRPr="00CE37B5">
          <w:rPr>
            <w:rStyle w:val="Hyperlink"/>
          </w:rPr>
          <w:t>D2400260</w:t>
        </w:r>
      </w:hyperlink>
      <w:r>
        <w:t>) into 2 separate DB37 controller cables.</w:t>
      </w:r>
    </w:p>
    <w:p w:rsidR="003A29D3" w:rsidRDefault="003A29D3" w:rsidP="00CE37B5"/>
    <w:p w:rsidR="003A29D3" w:rsidRDefault="003A29D3" w:rsidP="00CD0F27">
      <w:pPr>
        <w:pStyle w:val="Caption"/>
        <w:ind w:firstLine="360"/>
        <w:jc w:val="left"/>
      </w:pPr>
      <w:r>
        <w:t xml:space="preserve">Figure </w:t>
      </w:r>
      <w:r>
        <w:t>4</w:t>
      </w:r>
      <w:r>
        <w:t xml:space="preserve">, </w:t>
      </w:r>
      <w:r w:rsidRPr="00BF4965">
        <w:t>S</w:t>
      </w:r>
      <w:r>
        <w:t xml:space="preserve">upport for 2 Fast Shutter Controllers using a single DB37 </w:t>
      </w:r>
      <w:r>
        <w:t>interface</w:t>
      </w:r>
    </w:p>
    <w:p w:rsidR="003A29D3" w:rsidRDefault="003A29D3" w:rsidP="00CD0F27">
      <w:pPr>
        <w:pStyle w:val="Caption"/>
      </w:pPr>
      <w:r>
        <w:rPr>
          <w:noProof/>
        </w:rPr>
        <w:drawing>
          <wp:inline distT="0" distB="0" distL="0" distR="0" wp14:anchorId="4EB3FE58" wp14:editId="46070DFA">
            <wp:extent cx="5486400" cy="3182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182620"/>
                    </a:xfrm>
                    <a:prstGeom prst="rect">
                      <a:avLst/>
                    </a:prstGeom>
                  </pic:spPr>
                </pic:pic>
              </a:graphicData>
            </a:graphic>
          </wp:inline>
        </w:drawing>
      </w:r>
    </w:p>
    <w:sectPr w:rsidR="003A29D3" w:rsidSect="004C6B3C">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15" w:rsidRDefault="00706715" w:rsidP="00E428FF">
      <w:r>
        <w:separator/>
      </w:r>
    </w:p>
    <w:p w:rsidR="00706715" w:rsidRDefault="00706715"/>
  </w:endnote>
  <w:endnote w:type="continuationSeparator" w:id="0">
    <w:p w:rsidR="00706715" w:rsidRDefault="00706715" w:rsidP="00E428FF">
      <w:r>
        <w:continuationSeparator/>
      </w:r>
    </w:p>
    <w:p w:rsidR="00706715" w:rsidRDefault="0070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15" w:rsidRDefault="00706715" w:rsidP="00E428FF">
      <w:r>
        <w:separator/>
      </w:r>
    </w:p>
    <w:p w:rsidR="00706715" w:rsidRDefault="00706715"/>
  </w:footnote>
  <w:footnote w:type="continuationSeparator" w:id="0">
    <w:p w:rsidR="00706715" w:rsidRDefault="00706715" w:rsidP="00E428FF">
      <w:r>
        <w:continuationSeparator/>
      </w:r>
    </w:p>
    <w:p w:rsidR="00706715" w:rsidRDefault="007067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E8" w:rsidRDefault="000A79CE" w:rsidP="00E428FF">
    <w:pPr>
      <w:pStyle w:val="Header"/>
    </w:pPr>
    <w:r>
      <w:ptab w:relativeTo="margin" w:alignment="right" w:leader="none"/>
    </w:r>
    <w:r w:rsidR="00D17AE8">
      <w:t xml:space="preserve"> </w:t>
    </w:r>
    <w:r w:rsidR="00F26477">
      <w:t>T1400687</w:t>
    </w:r>
    <w:r w:rsidR="00D17AE8">
      <w:t>-v</w:t>
    </w:r>
    <w:r w:rsidR="00934C9E">
      <w:t>2</w:t>
    </w:r>
    <w:r w:rsidR="00D17AE8">
      <w:t xml:space="preserve">, Page </w:t>
    </w:r>
    <w:r w:rsidR="00D17AE8">
      <w:fldChar w:fldCharType="begin"/>
    </w:r>
    <w:r w:rsidR="00D17AE8">
      <w:instrText xml:space="preserve"> PAGE   \* MERGEFORMAT </w:instrText>
    </w:r>
    <w:r w:rsidR="00D17AE8">
      <w:fldChar w:fldCharType="separate"/>
    </w:r>
    <w:r w:rsidR="00934C9E">
      <w:rPr>
        <w:noProof/>
      </w:rPr>
      <w:t>1</w:t>
    </w:r>
    <w:r w:rsidR="00D17AE8">
      <w:rPr>
        <w:noProof/>
      </w:rPr>
      <w:fldChar w:fldCharType="end"/>
    </w:r>
  </w:p>
  <w:p w:rsidR="00D17AE8" w:rsidRDefault="00D17AE8" w:rsidP="00E428FF">
    <w:pPr>
      <w:pStyle w:val="Header"/>
    </w:pPr>
  </w:p>
  <w:p w:rsidR="007120DD" w:rsidRDefault="007120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1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FF3D9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864A97"/>
    <w:multiLevelType w:val="hybridMultilevel"/>
    <w:tmpl w:val="957A1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83872F8"/>
    <w:multiLevelType w:val="hybridMultilevel"/>
    <w:tmpl w:val="0C94C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D2A1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974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F240714"/>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7" w15:restartNumberingAfterBreak="0">
    <w:nsid w:val="1C842B84"/>
    <w:multiLevelType w:val="hybridMultilevel"/>
    <w:tmpl w:val="2946D73E"/>
    <w:lvl w:ilvl="0" w:tplc="04090015">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A07C1"/>
    <w:multiLevelType w:val="hybridMultilevel"/>
    <w:tmpl w:val="59FEBF06"/>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616B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5E13AF"/>
    <w:multiLevelType w:val="hybridMultilevel"/>
    <w:tmpl w:val="37F892D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1979F5"/>
    <w:multiLevelType w:val="multilevel"/>
    <w:tmpl w:val="2F86AB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5036D9F"/>
    <w:multiLevelType w:val="hybridMultilevel"/>
    <w:tmpl w:val="99CCB85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84177E"/>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4" w15:restartNumberingAfterBreak="0">
    <w:nsid w:val="3F1D0C99"/>
    <w:multiLevelType w:val="hybridMultilevel"/>
    <w:tmpl w:val="0A34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3C59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281131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C7905F9"/>
    <w:multiLevelType w:val="hybridMultilevel"/>
    <w:tmpl w:val="9FE21EA8"/>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0053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0C22C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AFD676B"/>
    <w:multiLevelType w:val="multilevel"/>
    <w:tmpl w:val="040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6209329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3C95931"/>
    <w:multiLevelType w:val="hybridMultilevel"/>
    <w:tmpl w:val="7442851E"/>
    <w:lvl w:ilvl="0" w:tplc="04090001">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6C1D36"/>
    <w:multiLevelType w:val="hybridMultilevel"/>
    <w:tmpl w:val="AFD8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D0547"/>
    <w:multiLevelType w:val="hybridMultilevel"/>
    <w:tmpl w:val="2B90A77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43D7E"/>
    <w:multiLevelType w:val="hybridMultilevel"/>
    <w:tmpl w:val="8F88FA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500A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98D59BE"/>
    <w:multiLevelType w:val="hybridMultilevel"/>
    <w:tmpl w:val="607604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98470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5"/>
  </w:num>
  <w:num w:numId="3">
    <w:abstractNumId w:val="4"/>
  </w:num>
  <w:num w:numId="4">
    <w:abstractNumId w:val="20"/>
  </w:num>
  <w:num w:numId="5">
    <w:abstractNumId w:val="18"/>
  </w:num>
  <w:num w:numId="6">
    <w:abstractNumId w:val="13"/>
  </w:num>
  <w:num w:numId="7">
    <w:abstractNumId w:val="2"/>
  </w:num>
  <w:num w:numId="8">
    <w:abstractNumId w:val="23"/>
  </w:num>
  <w:num w:numId="9">
    <w:abstractNumId w:val="7"/>
  </w:num>
  <w:num w:numId="10">
    <w:abstractNumId w:val="3"/>
  </w:num>
  <w:num w:numId="11">
    <w:abstractNumId w:val="10"/>
  </w:num>
  <w:num w:numId="12">
    <w:abstractNumId w:val="25"/>
  </w:num>
  <w:num w:numId="13">
    <w:abstractNumId w:val="8"/>
  </w:num>
  <w:num w:numId="14">
    <w:abstractNumId w:val="24"/>
  </w:num>
  <w:num w:numId="15">
    <w:abstractNumId w:val="17"/>
  </w:num>
  <w:num w:numId="16">
    <w:abstractNumId w:val="12"/>
  </w:num>
  <w:num w:numId="17">
    <w:abstractNumId w:val="27"/>
  </w:num>
  <w:num w:numId="18">
    <w:abstractNumId w:val="9"/>
  </w:num>
  <w:num w:numId="19">
    <w:abstractNumId w:val="28"/>
  </w:num>
  <w:num w:numId="20">
    <w:abstractNumId w:val="15"/>
  </w:num>
  <w:num w:numId="21">
    <w:abstractNumId w:val="1"/>
  </w:num>
  <w:num w:numId="22">
    <w:abstractNumId w:val="21"/>
  </w:num>
  <w:num w:numId="23">
    <w:abstractNumId w:val="19"/>
  </w:num>
  <w:num w:numId="24">
    <w:abstractNumId w:val="16"/>
  </w:num>
  <w:num w:numId="25">
    <w:abstractNumId w:val="0"/>
  </w:num>
  <w:num w:numId="26">
    <w:abstractNumId w:val="26"/>
  </w:num>
  <w:num w:numId="27">
    <w:abstractNumId w:val="14"/>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CC"/>
    <w:rsid w:val="0001128D"/>
    <w:rsid w:val="00021152"/>
    <w:rsid w:val="00026FCC"/>
    <w:rsid w:val="00043FA5"/>
    <w:rsid w:val="0007725F"/>
    <w:rsid w:val="0008646A"/>
    <w:rsid w:val="000A5A70"/>
    <w:rsid w:val="000A79CE"/>
    <w:rsid w:val="001725CC"/>
    <w:rsid w:val="00195EBE"/>
    <w:rsid w:val="001A0E81"/>
    <w:rsid w:val="001B50E8"/>
    <w:rsid w:val="002271ED"/>
    <w:rsid w:val="00234CB5"/>
    <w:rsid w:val="00241C81"/>
    <w:rsid w:val="00272BBB"/>
    <w:rsid w:val="00276FB8"/>
    <w:rsid w:val="002A27C4"/>
    <w:rsid w:val="002D04D1"/>
    <w:rsid w:val="002E5B25"/>
    <w:rsid w:val="002F4629"/>
    <w:rsid w:val="002F4F04"/>
    <w:rsid w:val="00303C28"/>
    <w:rsid w:val="00310C23"/>
    <w:rsid w:val="0032052B"/>
    <w:rsid w:val="00322850"/>
    <w:rsid w:val="00327039"/>
    <w:rsid w:val="0032748F"/>
    <w:rsid w:val="00343984"/>
    <w:rsid w:val="00345DFC"/>
    <w:rsid w:val="00387CA7"/>
    <w:rsid w:val="003972BB"/>
    <w:rsid w:val="003A29D3"/>
    <w:rsid w:val="003B65CC"/>
    <w:rsid w:val="00440746"/>
    <w:rsid w:val="004449B8"/>
    <w:rsid w:val="004975F7"/>
    <w:rsid w:val="004A51CB"/>
    <w:rsid w:val="004B6FE1"/>
    <w:rsid w:val="004C2833"/>
    <w:rsid w:val="004C37C6"/>
    <w:rsid w:val="004C6B3C"/>
    <w:rsid w:val="004F7269"/>
    <w:rsid w:val="00514367"/>
    <w:rsid w:val="005461F8"/>
    <w:rsid w:val="005616A2"/>
    <w:rsid w:val="0057093F"/>
    <w:rsid w:val="00580848"/>
    <w:rsid w:val="00596F57"/>
    <w:rsid w:val="005B02E2"/>
    <w:rsid w:val="005D1718"/>
    <w:rsid w:val="005E398A"/>
    <w:rsid w:val="005F121B"/>
    <w:rsid w:val="00641283"/>
    <w:rsid w:val="00681DA0"/>
    <w:rsid w:val="006A210E"/>
    <w:rsid w:val="006C58B2"/>
    <w:rsid w:val="006D5358"/>
    <w:rsid w:val="006E259C"/>
    <w:rsid w:val="006F4C73"/>
    <w:rsid w:val="006F5FDC"/>
    <w:rsid w:val="00706715"/>
    <w:rsid w:val="007120DD"/>
    <w:rsid w:val="007307C8"/>
    <w:rsid w:val="00733D66"/>
    <w:rsid w:val="00796962"/>
    <w:rsid w:val="007A0565"/>
    <w:rsid w:val="007A5A58"/>
    <w:rsid w:val="007D398D"/>
    <w:rsid w:val="007D7E8E"/>
    <w:rsid w:val="00837E45"/>
    <w:rsid w:val="008830D5"/>
    <w:rsid w:val="008B60CE"/>
    <w:rsid w:val="008D392F"/>
    <w:rsid w:val="008D6B32"/>
    <w:rsid w:val="00913FC0"/>
    <w:rsid w:val="00934C9E"/>
    <w:rsid w:val="009562EC"/>
    <w:rsid w:val="00973E87"/>
    <w:rsid w:val="009855FD"/>
    <w:rsid w:val="009C241E"/>
    <w:rsid w:val="009C75FC"/>
    <w:rsid w:val="00A11D1E"/>
    <w:rsid w:val="00A15DE6"/>
    <w:rsid w:val="00A53192"/>
    <w:rsid w:val="00A84AA7"/>
    <w:rsid w:val="00A85EA4"/>
    <w:rsid w:val="00A91386"/>
    <w:rsid w:val="00AD560B"/>
    <w:rsid w:val="00AE24DA"/>
    <w:rsid w:val="00B3164D"/>
    <w:rsid w:val="00B54D2F"/>
    <w:rsid w:val="00B81019"/>
    <w:rsid w:val="00BF4965"/>
    <w:rsid w:val="00C22B7B"/>
    <w:rsid w:val="00C34EAE"/>
    <w:rsid w:val="00C3607E"/>
    <w:rsid w:val="00C41F83"/>
    <w:rsid w:val="00C46103"/>
    <w:rsid w:val="00C6458B"/>
    <w:rsid w:val="00C90C26"/>
    <w:rsid w:val="00CD0F27"/>
    <w:rsid w:val="00CE37B5"/>
    <w:rsid w:val="00D11351"/>
    <w:rsid w:val="00D17AE8"/>
    <w:rsid w:val="00D2722A"/>
    <w:rsid w:val="00D34641"/>
    <w:rsid w:val="00D83F87"/>
    <w:rsid w:val="00D86DCD"/>
    <w:rsid w:val="00DC5573"/>
    <w:rsid w:val="00DD3B18"/>
    <w:rsid w:val="00E0372F"/>
    <w:rsid w:val="00E32741"/>
    <w:rsid w:val="00E34B0D"/>
    <w:rsid w:val="00E428FF"/>
    <w:rsid w:val="00E66E0C"/>
    <w:rsid w:val="00E72B18"/>
    <w:rsid w:val="00E96502"/>
    <w:rsid w:val="00ED1655"/>
    <w:rsid w:val="00F017AD"/>
    <w:rsid w:val="00F26477"/>
    <w:rsid w:val="00FD4411"/>
    <w:rsid w:val="00FE6AC8"/>
    <w:rsid w:val="00FF57F3"/>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B2754"/>
  <w15:docId w15:val="{1693DCC6-002B-4127-A55F-E48511AD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yNormal"/>
    <w:qFormat/>
    <w:rsid w:val="00AD560B"/>
    <w:pPr>
      <w:ind w:firstLine="360"/>
    </w:pPr>
  </w:style>
  <w:style w:type="paragraph" w:styleId="Heading1">
    <w:name w:val="heading 1"/>
    <w:aliases w:val="MyHeading 1"/>
    <w:basedOn w:val="NoSpacing"/>
    <w:next w:val="NoSpacing"/>
    <w:link w:val="Heading1Char"/>
    <w:qFormat/>
    <w:rsid w:val="00AD560B"/>
    <w:pPr>
      <w:keepNext/>
      <w:keepLines/>
      <w:numPr>
        <w:numId w:val="29"/>
      </w:numPr>
      <w:spacing w:before="480"/>
      <w:contextualSpacing/>
      <w:outlineLvl w:val="0"/>
    </w:pPr>
    <w:rPr>
      <w:rFonts w:asciiTheme="majorHAnsi" w:eastAsiaTheme="majorEastAsia" w:hAnsiTheme="majorHAnsi" w:cstheme="majorBidi"/>
      <w:bCs/>
      <w:color w:val="000000" w:themeColor="text1"/>
      <w:sz w:val="28"/>
      <w:szCs w:val="28"/>
    </w:rPr>
  </w:style>
  <w:style w:type="paragraph" w:styleId="Heading2">
    <w:name w:val="heading 2"/>
    <w:aliases w:val="MyHeading 2"/>
    <w:basedOn w:val="Normal"/>
    <w:next w:val="Normal"/>
    <w:link w:val="Heading2Char"/>
    <w:unhideWhenUsed/>
    <w:qFormat/>
    <w:rsid w:val="004F7269"/>
    <w:pPr>
      <w:keepNext/>
      <w:keepLines/>
      <w:numPr>
        <w:ilvl w:val="1"/>
        <w:numId w:val="29"/>
      </w:numPr>
      <w:spacing w:before="200"/>
      <w:contextualSpacing/>
      <w:outlineLvl w:val="1"/>
    </w:pPr>
    <w:rPr>
      <w:rFonts w:asciiTheme="majorHAnsi" w:eastAsiaTheme="majorEastAsia" w:hAnsiTheme="majorHAnsi" w:cstheme="majorBidi"/>
      <w:bCs/>
      <w:color w:val="000000" w:themeColor="text1"/>
      <w:sz w:val="26"/>
      <w:szCs w:val="26"/>
    </w:rPr>
  </w:style>
  <w:style w:type="paragraph" w:styleId="Heading3">
    <w:name w:val="heading 3"/>
    <w:aliases w:val="MyHeading 3"/>
    <w:basedOn w:val="Normal"/>
    <w:next w:val="Normal"/>
    <w:link w:val="Heading3Char"/>
    <w:unhideWhenUsed/>
    <w:qFormat/>
    <w:rsid w:val="00580848"/>
    <w:pPr>
      <w:keepNext/>
      <w:keepLines/>
      <w:numPr>
        <w:ilvl w:val="2"/>
        <w:numId w:val="29"/>
      </w:numPr>
      <w:spacing w:before="20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semiHidden/>
    <w:unhideWhenUsed/>
    <w:qFormat/>
    <w:rsid w:val="00E428FF"/>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428FF"/>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428FF"/>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428FF"/>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428FF"/>
    <w:pPr>
      <w:keepNext/>
      <w:keepLines/>
      <w:numPr>
        <w:ilvl w:val="7"/>
        <w:numId w:val="2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E428FF"/>
    <w:pPr>
      <w:keepNext/>
      <w:keepLines/>
      <w:numPr>
        <w:ilvl w:val="8"/>
        <w:numId w:val="2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MyCaption"/>
    <w:basedOn w:val="Normal"/>
    <w:next w:val="Normal"/>
    <w:qFormat/>
    <w:rsid w:val="00BF4965"/>
    <w:pPr>
      <w:keepNext/>
      <w:spacing w:after="120"/>
      <w:ind w:firstLine="0"/>
      <w:jc w:val="center"/>
    </w:pPr>
    <w:rPr>
      <w:b/>
      <w:bCs/>
      <w:color w:val="17365D" w:themeColor="text2" w:themeShade="BF"/>
    </w:rPr>
  </w:style>
  <w:style w:type="table" w:styleId="TableGrid">
    <w:name w:val="Table Grid"/>
    <w:basedOn w:val="TableNormal"/>
    <w:rsid w:val="00E3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17AE8"/>
    <w:pPr>
      <w:tabs>
        <w:tab w:val="center" w:pos="4680"/>
        <w:tab w:val="right" w:pos="9360"/>
      </w:tabs>
    </w:pPr>
  </w:style>
  <w:style w:type="character" w:customStyle="1" w:styleId="HeaderChar">
    <w:name w:val="Header Char"/>
    <w:basedOn w:val="DefaultParagraphFont"/>
    <w:link w:val="Header"/>
    <w:uiPriority w:val="99"/>
    <w:rsid w:val="00D17AE8"/>
    <w:rPr>
      <w:sz w:val="24"/>
      <w:szCs w:val="24"/>
    </w:rPr>
  </w:style>
  <w:style w:type="paragraph" w:styleId="Footer">
    <w:name w:val="footer"/>
    <w:basedOn w:val="Normal"/>
    <w:link w:val="FooterChar"/>
    <w:rsid w:val="00D17AE8"/>
    <w:pPr>
      <w:tabs>
        <w:tab w:val="center" w:pos="4680"/>
        <w:tab w:val="right" w:pos="9360"/>
      </w:tabs>
    </w:pPr>
  </w:style>
  <w:style w:type="character" w:customStyle="1" w:styleId="FooterChar">
    <w:name w:val="Footer Char"/>
    <w:basedOn w:val="DefaultParagraphFont"/>
    <w:link w:val="Footer"/>
    <w:rsid w:val="00D17AE8"/>
    <w:rPr>
      <w:sz w:val="24"/>
      <w:szCs w:val="24"/>
    </w:rPr>
  </w:style>
  <w:style w:type="paragraph" w:styleId="BalloonText">
    <w:name w:val="Balloon Text"/>
    <w:basedOn w:val="Normal"/>
    <w:link w:val="BalloonTextChar"/>
    <w:rsid w:val="00514367"/>
    <w:rPr>
      <w:rFonts w:ascii="Tahoma" w:hAnsi="Tahoma" w:cs="Tahoma"/>
      <w:sz w:val="16"/>
      <w:szCs w:val="16"/>
    </w:rPr>
  </w:style>
  <w:style w:type="character" w:customStyle="1" w:styleId="BalloonTextChar">
    <w:name w:val="Balloon Text Char"/>
    <w:basedOn w:val="DefaultParagraphFont"/>
    <w:link w:val="BalloonText"/>
    <w:rsid w:val="00514367"/>
    <w:rPr>
      <w:rFonts w:ascii="Tahoma" w:hAnsi="Tahoma" w:cs="Tahoma"/>
      <w:sz w:val="16"/>
      <w:szCs w:val="16"/>
    </w:rPr>
  </w:style>
  <w:style w:type="character" w:customStyle="1" w:styleId="Heading2Char">
    <w:name w:val="Heading 2 Char"/>
    <w:aliases w:val="MyHeading 2 Char"/>
    <w:basedOn w:val="DefaultParagraphFont"/>
    <w:link w:val="Heading2"/>
    <w:rsid w:val="004F7269"/>
    <w:rPr>
      <w:rFonts w:asciiTheme="majorHAnsi" w:eastAsiaTheme="majorEastAsia" w:hAnsiTheme="majorHAnsi" w:cstheme="majorBidi"/>
      <w:bCs/>
      <w:color w:val="000000" w:themeColor="text1"/>
      <w:sz w:val="26"/>
      <w:szCs w:val="26"/>
    </w:rPr>
  </w:style>
  <w:style w:type="character" w:customStyle="1" w:styleId="Heading3Char">
    <w:name w:val="Heading 3 Char"/>
    <w:aliases w:val="MyHeading 3 Char"/>
    <w:basedOn w:val="DefaultParagraphFont"/>
    <w:link w:val="Heading3"/>
    <w:rsid w:val="00580848"/>
    <w:rPr>
      <w:rFonts w:asciiTheme="majorHAnsi" w:eastAsiaTheme="majorEastAsia" w:hAnsiTheme="majorHAnsi" w:cstheme="majorBidi"/>
      <w:bCs/>
      <w:color w:val="000000" w:themeColor="text1"/>
      <w:sz w:val="24"/>
      <w:szCs w:val="24"/>
    </w:rPr>
  </w:style>
  <w:style w:type="character" w:customStyle="1" w:styleId="Heading1Char">
    <w:name w:val="Heading 1 Char"/>
    <w:aliases w:val="MyHeading 1 Char"/>
    <w:basedOn w:val="DefaultParagraphFont"/>
    <w:link w:val="Heading1"/>
    <w:rsid w:val="00AD560B"/>
    <w:rPr>
      <w:rFonts w:asciiTheme="majorHAnsi" w:eastAsiaTheme="majorEastAsia" w:hAnsiTheme="majorHAnsi" w:cstheme="majorBidi"/>
      <w:bCs/>
      <w:color w:val="000000" w:themeColor="text1"/>
      <w:sz w:val="28"/>
      <w:szCs w:val="28"/>
    </w:rPr>
  </w:style>
  <w:style w:type="character" w:customStyle="1" w:styleId="Heading4Char">
    <w:name w:val="Heading 4 Char"/>
    <w:basedOn w:val="DefaultParagraphFont"/>
    <w:link w:val="Heading4"/>
    <w:semiHidden/>
    <w:rsid w:val="00E428FF"/>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9562EC"/>
    <w:rPr>
      <w:sz w:val="24"/>
      <w:szCs w:val="24"/>
    </w:rPr>
  </w:style>
  <w:style w:type="character" w:customStyle="1" w:styleId="Heading5Char">
    <w:name w:val="Heading 5 Char"/>
    <w:basedOn w:val="DefaultParagraphFont"/>
    <w:link w:val="Heading5"/>
    <w:semiHidden/>
    <w:rsid w:val="00E428F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428F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E428F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E428F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E428FF"/>
    <w:rPr>
      <w:rFonts w:asciiTheme="majorHAnsi" w:eastAsiaTheme="majorEastAsia" w:hAnsiTheme="majorHAnsi" w:cstheme="majorBidi"/>
      <w:i/>
      <w:iCs/>
      <w:color w:val="404040" w:themeColor="text1" w:themeTint="BF"/>
    </w:rPr>
  </w:style>
  <w:style w:type="character" w:styleId="Hyperlink">
    <w:name w:val="Hyperlink"/>
    <w:basedOn w:val="DefaultParagraphFont"/>
    <w:unhideWhenUsed/>
    <w:rsid w:val="00CE3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71836">
      <w:bodyDiv w:val="1"/>
      <w:marLeft w:val="0"/>
      <w:marRight w:val="0"/>
      <w:marTop w:val="0"/>
      <w:marBottom w:val="0"/>
      <w:divBdr>
        <w:top w:val="none" w:sz="0" w:space="0" w:color="auto"/>
        <w:left w:val="none" w:sz="0" w:space="0" w:color="auto"/>
        <w:bottom w:val="none" w:sz="0" w:space="0" w:color="auto"/>
        <w:right w:val="none" w:sz="0" w:space="0" w:color="auto"/>
      </w:divBdr>
      <w:divsChild>
        <w:div w:id="2099711903">
          <w:marLeft w:val="0"/>
          <w:marRight w:val="0"/>
          <w:marTop w:val="0"/>
          <w:marBottom w:val="0"/>
          <w:divBdr>
            <w:top w:val="none" w:sz="0" w:space="0" w:color="auto"/>
            <w:left w:val="none" w:sz="0" w:space="0" w:color="auto"/>
            <w:bottom w:val="none" w:sz="0" w:space="0" w:color="auto"/>
            <w:right w:val="none" w:sz="0" w:space="0" w:color="auto"/>
          </w:divBdr>
          <w:divsChild>
            <w:div w:id="62995881">
              <w:marLeft w:val="0"/>
              <w:marRight w:val="0"/>
              <w:marTop w:val="0"/>
              <w:marBottom w:val="0"/>
              <w:divBdr>
                <w:top w:val="none" w:sz="0" w:space="0" w:color="auto"/>
                <w:left w:val="none" w:sz="0" w:space="0" w:color="auto"/>
                <w:bottom w:val="none" w:sz="0" w:space="0" w:color="auto"/>
                <w:right w:val="none" w:sz="0" w:space="0" w:color="auto"/>
              </w:divBdr>
            </w:div>
            <w:div w:id="297227192">
              <w:marLeft w:val="0"/>
              <w:marRight w:val="0"/>
              <w:marTop w:val="0"/>
              <w:marBottom w:val="0"/>
              <w:divBdr>
                <w:top w:val="none" w:sz="0" w:space="0" w:color="auto"/>
                <w:left w:val="none" w:sz="0" w:space="0" w:color="auto"/>
                <w:bottom w:val="none" w:sz="0" w:space="0" w:color="auto"/>
                <w:right w:val="none" w:sz="0" w:space="0" w:color="auto"/>
              </w:divBdr>
            </w:div>
            <w:div w:id="612596189">
              <w:marLeft w:val="0"/>
              <w:marRight w:val="0"/>
              <w:marTop w:val="0"/>
              <w:marBottom w:val="0"/>
              <w:divBdr>
                <w:top w:val="none" w:sz="0" w:space="0" w:color="auto"/>
                <w:left w:val="none" w:sz="0" w:space="0" w:color="auto"/>
                <w:bottom w:val="none" w:sz="0" w:space="0" w:color="auto"/>
                <w:right w:val="none" w:sz="0" w:space="0" w:color="auto"/>
              </w:divBdr>
            </w:div>
            <w:div w:id="627705138">
              <w:marLeft w:val="0"/>
              <w:marRight w:val="0"/>
              <w:marTop w:val="0"/>
              <w:marBottom w:val="0"/>
              <w:divBdr>
                <w:top w:val="none" w:sz="0" w:space="0" w:color="auto"/>
                <w:left w:val="none" w:sz="0" w:space="0" w:color="auto"/>
                <w:bottom w:val="none" w:sz="0" w:space="0" w:color="auto"/>
                <w:right w:val="none" w:sz="0" w:space="0" w:color="auto"/>
              </w:divBdr>
            </w:div>
            <w:div w:id="800344053">
              <w:marLeft w:val="0"/>
              <w:marRight w:val="0"/>
              <w:marTop w:val="0"/>
              <w:marBottom w:val="0"/>
              <w:divBdr>
                <w:top w:val="none" w:sz="0" w:space="0" w:color="auto"/>
                <w:left w:val="none" w:sz="0" w:space="0" w:color="auto"/>
                <w:bottom w:val="none" w:sz="0" w:space="0" w:color="auto"/>
                <w:right w:val="none" w:sz="0" w:space="0" w:color="auto"/>
              </w:divBdr>
            </w:div>
            <w:div w:id="987244469">
              <w:marLeft w:val="0"/>
              <w:marRight w:val="0"/>
              <w:marTop w:val="0"/>
              <w:marBottom w:val="0"/>
              <w:divBdr>
                <w:top w:val="none" w:sz="0" w:space="0" w:color="auto"/>
                <w:left w:val="none" w:sz="0" w:space="0" w:color="auto"/>
                <w:bottom w:val="none" w:sz="0" w:space="0" w:color="auto"/>
                <w:right w:val="none" w:sz="0" w:space="0" w:color="auto"/>
              </w:divBdr>
            </w:div>
            <w:div w:id="1214200216">
              <w:marLeft w:val="0"/>
              <w:marRight w:val="0"/>
              <w:marTop w:val="0"/>
              <w:marBottom w:val="0"/>
              <w:divBdr>
                <w:top w:val="none" w:sz="0" w:space="0" w:color="auto"/>
                <w:left w:val="none" w:sz="0" w:space="0" w:color="auto"/>
                <w:bottom w:val="none" w:sz="0" w:space="0" w:color="auto"/>
                <w:right w:val="none" w:sz="0" w:space="0" w:color="auto"/>
              </w:divBdr>
            </w:div>
            <w:div w:id="1278875972">
              <w:marLeft w:val="0"/>
              <w:marRight w:val="0"/>
              <w:marTop w:val="0"/>
              <w:marBottom w:val="0"/>
              <w:divBdr>
                <w:top w:val="none" w:sz="0" w:space="0" w:color="auto"/>
                <w:left w:val="none" w:sz="0" w:space="0" w:color="auto"/>
                <w:bottom w:val="none" w:sz="0" w:space="0" w:color="auto"/>
                <w:right w:val="none" w:sz="0" w:space="0" w:color="auto"/>
              </w:divBdr>
            </w:div>
            <w:div w:id="1345861385">
              <w:marLeft w:val="0"/>
              <w:marRight w:val="0"/>
              <w:marTop w:val="0"/>
              <w:marBottom w:val="0"/>
              <w:divBdr>
                <w:top w:val="none" w:sz="0" w:space="0" w:color="auto"/>
                <w:left w:val="none" w:sz="0" w:space="0" w:color="auto"/>
                <w:bottom w:val="none" w:sz="0" w:space="0" w:color="auto"/>
                <w:right w:val="none" w:sz="0" w:space="0" w:color="auto"/>
              </w:divBdr>
            </w:div>
            <w:div w:id="1361737923">
              <w:marLeft w:val="0"/>
              <w:marRight w:val="0"/>
              <w:marTop w:val="0"/>
              <w:marBottom w:val="0"/>
              <w:divBdr>
                <w:top w:val="none" w:sz="0" w:space="0" w:color="auto"/>
                <w:left w:val="none" w:sz="0" w:space="0" w:color="auto"/>
                <w:bottom w:val="none" w:sz="0" w:space="0" w:color="auto"/>
                <w:right w:val="none" w:sz="0" w:space="0" w:color="auto"/>
              </w:divBdr>
            </w:div>
            <w:div w:id="1389648605">
              <w:marLeft w:val="0"/>
              <w:marRight w:val="0"/>
              <w:marTop w:val="0"/>
              <w:marBottom w:val="0"/>
              <w:divBdr>
                <w:top w:val="none" w:sz="0" w:space="0" w:color="auto"/>
                <w:left w:val="none" w:sz="0" w:space="0" w:color="auto"/>
                <w:bottom w:val="none" w:sz="0" w:space="0" w:color="auto"/>
                <w:right w:val="none" w:sz="0" w:space="0" w:color="auto"/>
              </w:divBdr>
            </w:div>
            <w:div w:id="1710372506">
              <w:marLeft w:val="0"/>
              <w:marRight w:val="0"/>
              <w:marTop w:val="0"/>
              <w:marBottom w:val="0"/>
              <w:divBdr>
                <w:top w:val="none" w:sz="0" w:space="0" w:color="auto"/>
                <w:left w:val="none" w:sz="0" w:space="0" w:color="auto"/>
                <w:bottom w:val="none" w:sz="0" w:space="0" w:color="auto"/>
                <w:right w:val="none" w:sz="0" w:space="0" w:color="auto"/>
              </w:divBdr>
            </w:div>
            <w:div w:id="1724019889">
              <w:marLeft w:val="0"/>
              <w:marRight w:val="0"/>
              <w:marTop w:val="0"/>
              <w:marBottom w:val="0"/>
              <w:divBdr>
                <w:top w:val="none" w:sz="0" w:space="0" w:color="auto"/>
                <w:left w:val="none" w:sz="0" w:space="0" w:color="auto"/>
                <w:bottom w:val="none" w:sz="0" w:space="0" w:color="auto"/>
                <w:right w:val="none" w:sz="0" w:space="0" w:color="auto"/>
              </w:divBdr>
            </w:div>
            <w:div w:id="1897737855">
              <w:marLeft w:val="0"/>
              <w:marRight w:val="0"/>
              <w:marTop w:val="0"/>
              <w:marBottom w:val="0"/>
              <w:divBdr>
                <w:top w:val="none" w:sz="0" w:space="0" w:color="auto"/>
                <w:left w:val="none" w:sz="0" w:space="0" w:color="auto"/>
                <w:bottom w:val="none" w:sz="0" w:space="0" w:color="auto"/>
                <w:right w:val="none" w:sz="0" w:space="0" w:color="auto"/>
              </w:divBdr>
            </w:div>
            <w:div w:id="2010789778">
              <w:marLeft w:val="0"/>
              <w:marRight w:val="0"/>
              <w:marTop w:val="0"/>
              <w:marBottom w:val="0"/>
              <w:divBdr>
                <w:top w:val="none" w:sz="0" w:space="0" w:color="auto"/>
                <w:left w:val="none" w:sz="0" w:space="0" w:color="auto"/>
                <w:bottom w:val="none" w:sz="0" w:space="0" w:color="auto"/>
                <w:right w:val="none" w:sz="0" w:space="0" w:color="auto"/>
              </w:divBdr>
            </w:div>
            <w:div w:id="21297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cc.ligo.org/LIGO-D24002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cc.ligo.org/LIGO-E1300688"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Ligo</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Richard Abbott</dc:creator>
  <cp:lastModifiedBy>Daniel Sigg</cp:lastModifiedBy>
  <cp:revision>11</cp:revision>
  <cp:lastPrinted>2014-09-08T20:20:00Z</cp:lastPrinted>
  <dcterms:created xsi:type="dcterms:W3CDTF">2014-10-23T20:49:00Z</dcterms:created>
  <dcterms:modified xsi:type="dcterms:W3CDTF">2024-08-07T17:55:00Z</dcterms:modified>
</cp:coreProperties>
</file>