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23462" w14:textId="77777777" w:rsidR="005F48B2" w:rsidRDefault="005F48B2">
      <w:pPr>
        <w:pStyle w:val="PlainText"/>
        <w:jc w:val="center"/>
        <w:rPr>
          <w:i/>
          <w:sz w:val="36"/>
        </w:rPr>
      </w:pPr>
    </w:p>
    <w:p w14:paraId="61A04E6B" w14:textId="77777777" w:rsidR="005F48B2" w:rsidRDefault="005F48B2">
      <w:pPr>
        <w:pStyle w:val="PlainText"/>
        <w:jc w:val="center"/>
        <w:rPr>
          <w:i/>
          <w:sz w:val="36"/>
        </w:rPr>
      </w:pPr>
      <w:r>
        <w:rPr>
          <w:i/>
          <w:sz w:val="36"/>
        </w:rPr>
        <w:t>LIGO Laboratory / LIGO Scientific Collaboration</w:t>
      </w:r>
    </w:p>
    <w:p w14:paraId="5DED4F43" w14:textId="77777777" w:rsidR="005F48B2" w:rsidRDefault="005F48B2">
      <w:pPr>
        <w:pStyle w:val="PlainText"/>
        <w:jc w:val="center"/>
        <w:rPr>
          <w:sz w:val="36"/>
        </w:rPr>
      </w:pPr>
    </w:p>
    <w:p w14:paraId="7406A8DC" w14:textId="77777777" w:rsidR="005F48B2" w:rsidRDefault="005F48B2">
      <w:pPr>
        <w:pStyle w:val="PlainText"/>
        <w:jc w:val="left"/>
        <w:rPr>
          <w:sz w:val="36"/>
        </w:rPr>
      </w:pPr>
    </w:p>
    <w:p w14:paraId="3E88F2DD" w14:textId="60703795" w:rsidR="005F48B2" w:rsidRDefault="008E7496"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6C7E20">
        <w:t>T</w:t>
      </w:r>
      <w:r>
        <w:t>1</w:t>
      </w:r>
      <w:r w:rsidR="006C7E20">
        <w:t>400</w:t>
      </w:r>
      <w:r w:rsidR="007123D0">
        <w:t>317</w:t>
      </w:r>
      <w:r w:rsidR="00F5292B">
        <w:t>-v</w:t>
      </w:r>
      <w:r w:rsidR="00832753">
        <w:t>1</w:t>
      </w:r>
      <w:r w:rsidR="005F48B2">
        <w:tab/>
      </w:r>
      <w:r w:rsidR="005F48B2">
        <w:rPr>
          <w:rFonts w:ascii="Times" w:hAnsi="Times"/>
          <w:i/>
          <w:iCs/>
          <w:color w:val="0000FF"/>
          <w:sz w:val="40"/>
        </w:rPr>
        <w:t>LIGO</w:t>
      </w:r>
      <w:r w:rsidR="005F48B2">
        <w:tab/>
      </w:r>
      <w:r w:rsidR="007123D0">
        <w:t>May 5</w:t>
      </w:r>
      <w:r w:rsidR="00871F96">
        <w:t>, 2014</w:t>
      </w:r>
    </w:p>
    <w:p w14:paraId="26D9D457" w14:textId="77777777" w:rsidR="005F48B2" w:rsidRDefault="006C7E20">
      <w:pPr>
        <w:pBdr>
          <w:top w:val="threeDEmboss" w:sz="24" w:space="1" w:color="auto"/>
          <w:left w:val="threeDEmboss" w:sz="24" w:space="4" w:color="auto"/>
          <w:bottom w:val="threeDEmboss" w:sz="24" w:space="1" w:color="auto"/>
          <w:right w:val="threeDEmboss" w:sz="24" w:space="4" w:color="auto"/>
        </w:pBdr>
      </w:pPr>
      <w:r>
        <w:pict w14:anchorId="37F8C82C">
          <v:rect id="_x0000_i1025" style="width:0;height:1.5pt" o:hralign="center" o:hrstd="t" o:hr="t" fillcolor="gray" stroked="f"/>
        </w:pict>
      </w:r>
    </w:p>
    <w:p w14:paraId="0DB3CF19" w14:textId="5F9816D6" w:rsidR="005F48B2" w:rsidRPr="006C7E20" w:rsidRDefault="007123D0">
      <w:pPr>
        <w:pStyle w:val="BodyText"/>
        <w:pBdr>
          <w:top w:val="threeDEmboss" w:sz="24" w:space="1" w:color="auto"/>
          <w:left w:val="threeDEmboss" w:sz="24" w:space="4" w:color="auto"/>
          <w:bottom w:val="threeDEmboss" w:sz="24" w:space="1" w:color="auto"/>
          <w:right w:val="threeDEmboss" w:sz="24" w:space="4" w:color="auto"/>
        </w:pBdr>
        <w:rPr>
          <w:rFonts w:asciiTheme="minorHAnsi" w:hAnsiTheme="minorHAnsi"/>
        </w:rPr>
      </w:pPr>
      <w:r>
        <w:rPr>
          <w:rFonts w:asciiTheme="minorHAnsi" w:hAnsiTheme="minorHAnsi"/>
        </w:rPr>
        <w:t>Arm Length Stabilization (ALS)</w:t>
      </w:r>
      <w:r w:rsidR="006C7E20" w:rsidRPr="006C7E20">
        <w:rPr>
          <w:rFonts w:asciiTheme="minorHAnsi" w:hAnsiTheme="minorHAnsi"/>
        </w:rPr>
        <w:t xml:space="preserve"> Vertex Detection System</w:t>
      </w:r>
    </w:p>
    <w:p w14:paraId="461C9C1E" w14:textId="77777777" w:rsidR="005F48B2" w:rsidRDefault="006C7E20">
      <w:pPr>
        <w:pBdr>
          <w:top w:val="threeDEmboss" w:sz="24" w:space="1" w:color="auto"/>
          <w:left w:val="threeDEmboss" w:sz="24" w:space="4" w:color="auto"/>
          <w:bottom w:val="threeDEmboss" w:sz="24" w:space="1" w:color="auto"/>
          <w:right w:val="threeDEmboss" w:sz="24" w:space="4" w:color="auto"/>
        </w:pBdr>
      </w:pPr>
      <w:r>
        <w:pict w14:anchorId="5E240212">
          <v:rect id="_x0000_i1026" style="width:0;height:1.5pt" o:hralign="center" o:hrstd="t" o:hr="t" fillcolor="gray" stroked="f"/>
        </w:pict>
      </w:r>
    </w:p>
    <w:p w14:paraId="529E00EA" w14:textId="505D5896" w:rsidR="005F48B2" w:rsidRDefault="003562C3">
      <w:pPr>
        <w:pBdr>
          <w:top w:val="threeDEmboss" w:sz="24" w:space="1" w:color="auto"/>
          <w:left w:val="threeDEmboss" w:sz="24" w:space="4" w:color="auto"/>
          <w:bottom w:val="threeDEmboss" w:sz="24" w:space="1" w:color="auto"/>
          <w:right w:val="threeDEmboss" w:sz="24" w:space="4" w:color="auto"/>
        </w:pBdr>
        <w:jc w:val="center"/>
      </w:pPr>
      <w:r>
        <w:t>P. Fritschel</w:t>
      </w:r>
    </w:p>
    <w:p w14:paraId="1295FEEE" w14:textId="77777777" w:rsidR="005F48B2" w:rsidRDefault="005F48B2">
      <w:pPr>
        <w:pStyle w:val="PlainText"/>
        <w:spacing w:before="0"/>
        <w:jc w:val="center"/>
      </w:pPr>
    </w:p>
    <w:p w14:paraId="028A00F4" w14:textId="3083F763" w:rsidR="005F48B2" w:rsidRDefault="005F48B2">
      <w:pPr>
        <w:pStyle w:val="PlainText"/>
        <w:spacing w:before="0"/>
        <w:jc w:val="center"/>
      </w:pPr>
    </w:p>
    <w:p w14:paraId="0353502F" w14:textId="77777777" w:rsidR="005F48B2" w:rsidRDefault="005F48B2">
      <w:pPr>
        <w:pStyle w:val="PlainText"/>
        <w:spacing w:before="0"/>
        <w:jc w:val="center"/>
      </w:pPr>
    </w:p>
    <w:p w14:paraId="2E37CFC1" w14:textId="77777777" w:rsidR="005F48B2" w:rsidRDefault="005F48B2">
      <w:pPr>
        <w:pStyle w:val="PlainText"/>
        <w:spacing w:before="0"/>
        <w:jc w:val="center"/>
      </w:pPr>
      <w:r>
        <w:t>This is an internal working note</w:t>
      </w:r>
    </w:p>
    <w:p w14:paraId="2E29DDD3" w14:textId="77777777" w:rsidR="005F48B2" w:rsidRDefault="00E66298">
      <w:pPr>
        <w:pStyle w:val="PlainText"/>
        <w:spacing w:before="0"/>
        <w:jc w:val="center"/>
      </w:pPr>
      <w:r>
        <w:t>of the LIGO Laboratory</w:t>
      </w:r>
      <w:r w:rsidR="005F48B2">
        <w:t>.</w:t>
      </w:r>
    </w:p>
    <w:p w14:paraId="172FBB20" w14:textId="77777777" w:rsidR="005F48B2" w:rsidRDefault="005F48B2">
      <w:pPr>
        <w:pStyle w:val="PlainText"/>
        <w:spacing w:before="0"/>
        <w:jc w:val="left"/>
      </w:pPr>
    </w:p>
    <w:p w14:paraId="1D2A7B71" w14:textId="77777777" w:rsidR="008E7496" w:rsidRDefault="008E7496">
      <w:pPr>
        <w:pStyle w:val="PlainText"/>
        <w:spacing w:before="0"/>
        <w:jc w:val="left"/>
      </w:pPr>
    </w:p>
    <w:p w14:paraId="51B664CF" w14:textId="77777777" w:rsidR="004349B8" w:rsidRDefault="004349B8">
      <w:pPr>
        <w:pStyle w:val="PlainText"/>
        <w:spacing w:before="0"/>
        <w:jc w:val="left"/>
      </w:pPr>
    </w:p>
    <w:p w14:paraId="5D463CDA" w14:textId="77777777" w:rsidR="004349B8" w:rsidRDefault="004349B8">
      <w:pPr>
        <w:pStyle w:val="PlainText"/>
        <w:spacing w:before="0"/>
        <w:jc w:val="left"/>
      </w:pPr>
    </w:p>
    <w:p w14:paraId="6A99675C" w14:textId="77777777" w:rsidR="004349B8" w:rsidRDefault="004349B8">
      <w:pPr>
        <w:pStyle w:val="PlainText"/>
        <w:spacing w:before="0"/>
        <w:jc w:val="left"/>
      </w:pPr>
    </w:p>
    <w:p w14:paraId="1A1F3168" w14:textId="77777777" w:rsidR="004349B8" w:rsidRDefault="004349B8">
      <w:pPr>
        <w:pStyle w:val="PlainText"/>
        <w:spacing w:before="0"/>
        <w:jc w:val="left"/>
      </w:pPr>
    </w:p>
    <w:p w14:paraId="39B7155C" w14:textId="77777777" w:rsidR="004349B8" w:rsidRDefault="004349B8">
      <w:pPr>
        <w:pStyle w:val="PlainText"/>
        <w:spacing w:before="0"/>
        <w:jc w:val="left"/>
      </w:pPr>
    </w:p>
    <w:p w14:paraId="3FBB3533" w14:textId="77777777" w:rsidR="004349B8" w:rsidRDefault="004349B8">
      <w:pPr>
        <w:pStyle w:val="PlainText"/>
        <w:spacing w:before="0"/>
        <w:jc w:val="left"/>
      </w:pPr>
    </w:p>
    <w:p w14:paraId="0BF4CA02" w14:textId="77777777" w:rsidR="004349B8" w:rsidRDefault="004349B8">
      <w:pPr>
        <w:pStyle w:val="PlainText"/>
        <w:spacing w:before="0"/>
        <w:jc w:val="left"/>
      </w:pPr>
    </w:p>
    <w:p w14:paraId="01CE561A" w14:textId="77777777" w:rsidR="008E7496" w:rsidRDefault="008E7496">
      <w:pPr>
        <w:pStyle w:val="PlainText"/>
        <w:spacing w:before="0"/>
        <w:jc w:val="left"/>
      </w:pPr>
    </w:p>
    <w:tbl>
      <w:tblPr>
        <w:tblW w:w="0" w:type="auto"/>
        <w:tblLook w:val="0000" w:firstRow="0" w:lastRow="0" w:firstColumn="0" w:lastColumn="0" w:noHBand="0" w:noVBand="0"/>
      </w:tblPr>
      <w:tblGrid>
        <w:gridCol w:w="4903"/>
        <w:gridCol w:w="4903"/>
      </w:tblGrid>
      <w:tr w:rsidR="005F48B2" w14:paraId="3CCD80B6" w14:textId="77777777">
        <w:tc>
          <w:tcPr>
            <w:tcW w:w="4909" w:type="dxa"/>
          </w:tcPr>
          <w:p w14:paraId="63C9D1D3" w14:textId="77777777" w:rsidR="005F48B2" w:rsidRDefault="005F48B2">
            <w:pPr>
              <w:pStyle w:val="PlainText"/>
              <w:spacing w:before="0"/>
              <w:jc w:val="center"/>
              <w:rPr>
                <w:b/>
                <w:bCs/>
                <w:color w:val="808080"/>
              </w:rPr>
            </w:pPr>
            <w:r>
              <w:rPr>
                <w:b/>
                <w:bCs/>
                <w:color w:val="808080"/>
              </w:rPr>
              <w:t>California Institute of Technology</w:t>
            </w:r>
          </w:p>
          <w:p w14:paraId="50837634" w14:textId="77777777" w:rsidR="005F48B2" w:rsidRPr="005F48B2" w:rsidRDefault="005F48B2" w:rsidP="008E7496">
            <w:pPr>
              <w:pStyle w:val="PlainText"/>
              <w:spacing w:before="0"/>
              <w:jc w:val="center"/>
              <w:rPr>
                <w:color w:val="808080"/>
                <w:lang w:val="it-IT"/>
              </w:rPr>
            </w:pPr>
            <w:r>
              <w:rPr>
                <w:b/>
                <w:bCs/>
                <w:color w:val="808080"/>
              </w:rPr>
              <w:t>LIGO Project</w:t>
            </w:r>
          </w:p>
        </w:tc>
        <w:tc>
          <w:tcPr>
            <w:tcW w:w="4909" w:type="dxa"/>
          </w:tcPr>
          <w:p w14:paraId="5E5A7E9B" w14:textId="77777777" w:rsidR="005F48B2" w:rsidRDefault="005F48B2">
            <w:pPr>
              <w:pStyle w:val="PlainText"/>
              <w:spacing w:before="0"/>
              <w:jc w:val="center"/>
              <w:rPr>
                <w:b/>
                <w:bCs/>
                <w:color w:val="808080"/>
              </w:rPr>
            </w:pPr>
            <w:r>
              <w:rPr>
                <w:b/>
                <w:bCs/>
                <w:color w:val="808080"/>
              </w:rPr>
              <w:t>Massachusetts Institute of Technology</w:t>
            </w:r>
          </w:p>
          <w:p w14:paraId="50B7F8B8" w14:textId="77777777" w:rsidR="005F48B2" w:rsidRDefault="00E66298" w:rsidP="008E7496">
            <w:pPr>
              <w:pStyle w:val="PlainText"/>
              <w:spacing w:before="0"/>
              <w:jc w:val="center"/>
              <w:rPr>
                <w:color w:val="808080"/>
              </w:rPr>
            </w:pPr>
            <w:r>
              <w:rPr>
                <w:b/>
                <w:bCs/>
                <w:color w:val="808080"/>
              </w:rPr>
              <w:t>LIGO Project</w:t>
            </w:r>
          </w:p>
        </w:tc>
      </w:tr>
      <w:tr w:rsidR="005F48B2" w14:paraId="7147F90E" w14:textId="77777777">
        <w:tc>
          <w:tcPr>
            <w:tcW w:w="4909" w:type="dxa"/>
          </w:tcPr>
          <w:p w14:paraId="32CFA61A" w14:textId="77777777" w:rsidR="005F48B2" w:rsidRDefault="005F48B2">
            <w:pPr>
              <w:pStyle w:val="PlainText"/>
              <w:spacing w:before="0"/>
              <w:jc w:val="center"/>
              <w:rPr>
                <w:b/>
                <w:bCs/>
                <w:color w:val="808080"/>
              </w:rPr>
            </w:pPr>
          </w:p>
          <w:p w14:paraId="63240112" w14:textId="77777777" w:rsidR="008E7496" w:rsidRDefault="008E7496">
            <w:pPr>
              <w:pStyle w:val="PlainText"/>
              <w:spacing w:before="0"/>
              <w:jc w:val="center"/>
              <w:rPr>
                <w:b/>
                <w:bCs/>
                <w:color w:val="808080"/>
              </w:rPr>
            </w:pPr>
          </w:p>
          <w:p w14:paraId="7749F045" w14:textId="77777777" w:rsidR="008E7496" w:rsidRDefault="008E7496">
            <w:pPr>
              <w:pStyle w:val="PlainText"/>
              <w:spacing w:before="0"/>
              <w:jc w:val="center"/>
              <w:rPr>
                <w:b/>
                <w:bCs/>
                <w:color w:val="808080"/>
              </w:rPr>
            </w:pPr>
          </w:p>
          <w:p w14:paraId="6A937403" w14:textId="77777777" w:rsidR="008E7496" w:rsidRDefault="008E7496">
            <w:pPr>
              <w:pStyle w:val="PlainText"/>
              <w:spacing w:before="0"/>
              <w:jc w:val="center"/>
              <w:rPr>
                <w:b/>
                <w:bCs/>
                <w:color w:val="808080"/>
              </w:rPr>
            </w:pPr>
          </w:p>
          <w:p w14:paraId="35D67520" w14:textId="77777777" w:rsidR="005F48B2" w:rsidRDefault="005F48B2">
            <w:pPr>
              <w:pStyle w:val="PlainText"/>
              <w:spacing w:before="0"/>
              <w:jc w:val="center"/>
              <w:rPr>
                <w:b/>
                <w:bCs/>
                <w:color w:val="808080"/>
              </w:rPr>
            </w:pPr>
            <w:r>
              <w:rPr>
                <w:b/>
                <w:bCs/>
                <w:color w:val="808080"/>
              </w:rPr>
              <w:t>LIGO Hanford Observatory</w:t>
            </w:r>
          </w:p>
          <w:p w14:paraId="7F5824E3" w14:textId="77777777" w:rsidR="005F48B2" w:rsidRDefault="005F48B2">
            <w:pPr>
              <w:pStyle w:val="PlainText"/>
              <w:spacing w:before="0"/>
              <w:jc w:val="center"/>
              <w:rPr>
                <w:b/>
                <w:bCs/>
                <w:color w:val="808080"/>
              </w:rPr>
            </w:pPr>
          </w:p>
        </w:tc>
        <w:tc>
          <w:tcPr>
            <w:tcW w:w="4909" w:type="dxa"/>
          </w:tcPr>
          <w:p w14:paraId="738C179E" w14:textId="77777777" w:rsidR="005F48B2" w:rsidRDefault="005F48B2">
            <w:pPr>
              <w:pStyle w:val="PlainText"/>
              <w:spacing w:before="0"/>
              <w:jc w:val="center"/>
              <w:rPr>
                <w:b/>
                <w:bCs/>
                <w:color w:val="808080"/>
              </w:rPr>
            </w:pPr>
          </w:p>
          <w:p w14:paraId="6072EBAD" w14:textId="77777777" w:rsidR="008E7496" w:rsidRDefault="008E7496">
            <w:pPr>
              <w:pStyle w:val="PlainText"/>
              <w:spacing w:before="0"/>
              <w:jc w:val="center"/>
              <w:rPr>
                <w:b/>
                <w:bCs/>
                <w:color w:val="808080"/>
              </w:rPr>
            </w:pPr>
          </w:p>
          <w:p w14:paraId="33C83F9D" w14:textId="77777777" w:rsidR="008E7496" w:rsidRDefault="008E7496">
            <w:pPr>
              <w:pStyle w:val="PlainText"/>
              <w:spacing w:before="0"/>
              <w:jc w:val="center"/>
              <w:rPr>
                <w:b/>
                <w:bCs/>
                <w:color w:val="808080"/>
              </w:rPr>
            </w:pPr>
          </w:p>
          <w:p w14:paraId="243D35DD" w14:textId="77777777" w:rsidR="008E7496" w:rsidRDefault="008E7496">
            <w:pPr>
              <w:pStyle w:val="PlainText"/>
              <w:spacing w:before="0"/>
              <w:jc w:val="center"/>
              <w:rPr>
                <w:b/>
                <w:bCs/>
                <w:color w:val="808080"/>
              </w:rPr>
            </w:pPr>
          </w:p>
          <w:p w14:paraId="5B48323B" w14:textId="77777777" w:rsidR="005F48B2" w:rsidRDefault="005F48B2">
            <w:pPr>
              <w:pStyle w:val="PlainText"/>
              <w:spacing w:before="0"/>
              <w:jc w:val="center"/>
              <w:rPr>
                <w:b/>
                <w:bCs/>
                <w:color w:val="808080"/>
              </w:rPr>
            </w:pPr>
            <w:r>
              <w:rPr>
                <w:b/>
                <w:bCs/>
                <w:color w:val="808080"/>
              </w:rPr>
              <w:t>LIGO Livingston Observatory</w:t>
            </w:r>
          </w:p>
          <w:p w14:paraId="7BBBDE31" w14:textId="77777777" w:rsidR="005F48B2" w:rsidRDefault="005F48B2">
            <w:pPr>
              <w:pStyle w:val="PlainText"/>
              <w:spacing w:before="0"/>
              <w:jc w:val="center"/>
              <w:rPr>
                <w:b/>
                <w:bCs/>
                <w:color w:val="808080"/>
              </w:rPr>
            </w:pPr>
          </w:p>
        </w:tc>
      </w:tr>
    </w:tbl>
    <w:p w14:paraId="712A86A5" w14:textId="77777777" w:rsidR="005F48B2" w:rsidRDefault="005F48B2">
      <w:pPr>
        <w:pStyle w:val="PlainText"/>
        <w:jc w:val="center"/>
      </w:pPr>
      <w:r>
        <w:t>http://www.ligo.caltech.edu/</w:t>
      </w:r>
    </w:p>
    <w:p w14:paraId="077C4BD3" w14:textId="1293726D" w:rsidR="005F48B2" w:rsidRPr="00223FBC" w:rsidRDefault="005F48B2" w:rsidP="00223FBC">
      <w:pPr>
        <w:pStyle w:val="Heading1"/>
      </w:pPr>
      <w:r>
        <w:br w:type="page"/>
      </w:r>
      <w:r w:rsidR="006C7E20">
        <w:lastRenderedPageBreak/>
        <w:t>Introduction</w:t>
      </w:r>
    </w:p>
    <w:p w14:paraId="52AE0EF2" w14:textId="50FC589A" w:rsidR="006221E4" w:rsidRDefault="006C7E20" w:rsidP="007313B9">
      <w:r>
        <w:t xml:space="preserve">A key ingredient of the Arm Length Stabilization (ALS) system is the </w:t>
      </w:r>
      <w:r w:rsidR="00A4470A">
        <w:t xml:space="preserve">heterodyne detection of the two ALS 532 nm beams in the vertex, to generate ‘common’ and ‘differential’ mode error signals. The error signals originate </w:t>
      </w:r>
      <w:proofErr w:type="gramStart"/>
      <w:r w:rsidR="00A4470A">
        <w:t xml:space="preserve">from two Broad-Band </w:t>
      </w:r>
      <w:proofErr w:type="spellStart"/>
      <w:r w:rsidR="00A4470A">
        <w:t>Photodetectors</w:t>
      </w:r>
      <w:proofErr w:type="spellEnd"/>
      <w:r w:rsidR="00A4470A">
        <w:t xml:space="preserve"> </w:t>
      </w:r>
      <w:r w:rsidR="001E37B5">
        <w:t xml:space="preserve">(BBPD) </w:t>
      </w:r>
      <w:r w:rsidR="00A4470A">
        <w:t>on ISCT1</w:t>
      </w:r>
      <w:proofErr w:type="gramEnd"/>
      <w:r w:rsidR="00A4470A">
        <w:t>:</w:t>
      </w:r>
    </w:p>
    <w:p w14:paraId="55EAABC9" w14:textId="45BE1453" w:rsidR="00A4470A" w:rsidRDefault="00A4470A" w:rsidP="00A4470A">
      <w:pPr>
        <w:pStyle w:val="ListParagraph"/>
        <w:numPr>
          <w:ilvl w:val="0"/>
          <w:numId w:val="41"/>
        </w:numPr>
        <w:ind w:right="320"/>
      </w:pPr>
      <w:r>
        <w:t>Common</w:t>
      </w:r>
      <w:r w:rsidR="00FC6B97">
        <w:t xml:space="preserve"> mode: heterodyning of the ALS X</w:t>
      </w:r>
      <w:r>
        <w:t>-arm beam with the frequency-doubled PSL beam; nominal beat frequency: 78.92 MHz</w:t>
      </w:r>
    </w:p>
    <w:p w14:paraId="468FF966" w14:textId="17959D6C" w:rsidR="00A4470A" w:rsidRDefault="00A4470A" w:rsidP="00A4470A">
      <w:pPr>
        <w:pStyle w:val="ListParagraph"/>
        <w:numPr>
          <w:ilvl w:val="0"/>
          <w:numId w:val="41"/>
        </w:numPr>
        <w:ind w:right="320"/>
      </w:pPr>
      <w:r>
        <w:t>Differential mode: heterodyning of the ALS X-arm and Y-arm beams; nominal beat frequency: 157.84 MHz</w:t>
      </w:r>
    </w:p>
    <w:p w14:paraId="564F2D9E" w14:textId="71E9CA24" w:rsidR="00C45BB7" w:rsidRDefault="00C45BB7" w:rsidP="00C45BB7">
      <w:pPr>
        <w:ind w:right="320"/>
      </w:pPr>
      <w:r>
        <w:t xml:space="preserve">Each </w:t>
      </w:r>
      <w:proofErr w:type="spellStart"/>
      <w:r>
        <w:t>photodetector</w:t>
      </w:r>
      <w:proofErr w:type="spellEnd"/>
      <w:r>
        <w:t xml:space="preserve"> beat signal is detected with a</w:t>
      </w:r>
      <w:r w:rsidR="001E0EAB">
        <w:t xml:space="preserve"> Phase-Frequency Discriminator (PFD). The local oscillator, or frequency reference, for each PFD is a low-noise voltage-controlled oscillator (VCO). Additionally, the VCO is equipped with an analog servo so that a phase-locked loop (PLL) can be forme</w:t>
      </w:r>
      <w:r w:rsidR="003852AB">
        <w:t>d around the VCO and the PFD,</w:t>
      </w:r>
      <w:r w:rsidR="001E0EAB">
        <w:t xml:space="preserve"> lock</w:t>
      </w:r>
      <w:r w:rsidR="003852AB">
        <w:t>ing</w:t>
      </w:r>
      <w:r w:rsidR="001E0EAB">
        <w:t xml:space="preserve"> the VCO frequency to the beat signal. This note describes the function and design of this detection scheme.</w:t>
      </w:r>
    </w:p>
    <w:p w14:paraId="13BA86A1" w14:textId="00AEFAC9" w:rsidR="005F48B2" w:rsidRDefault="007313B9" w:rsidP="00223FBC">
      <w:pPr>
        <w:pStyle w:val="Heading1"/>
      </w:pPr>
      <w:r>
        <w:t xml:space="preserve">Design </w:t>
      </w:r>
    </w:p>
    <w:p w14:paraId="52C18D1F" w14:textId="084CF0C7" w:rsidR="003F2D24" w:rsidRDefault="00DE582A" w:rsidP="001E0EAB">
      <w:pPr>
        <w:jc w:val="left"/>
        <w:rPr>
          <w:rFonts w:cs="Helvetica"/>
        </w:rPr>
      </w:pPr>
      <w:r>
        <w:rPr>
          <w:rFonts w:cs="Helvetica"/>
        </w:rPr>
        <w:t>A block diagram of the ALS Common Mode Detection is shown in</w:t>
      </w:r>
      <w:r w:rsidR="0070052E">
        <w:rPr>
          <w:rFonts w:cs="Helvetica"/>
        </w:rPr>
        <w:t xml:space="preserve"> </w:t>
      </w:r>
      <w:r w:rsidR="0070052E">
        <w:rPr>
          <w:rFonts w:cs="Helvetica"/>
        </w:rPr>
        <w:fldChar w:fldCharType="begin"/>
      </w:r>
      <w:r w:rsidR="0070052E">
        <w:rPr>
          <w:rFonts w:cs="Helvetica"/>
        </w:rPr>
        <w:instrText xml:space="preserve"> REF _Ref260906355 \h </w:instrText>
      </w:r>
      <w:r w:rsidR="0070052E">
        <w:rPr>
          <w:rFonts w:cs="Helvetica"/>
        </w:rPr>
      </w:r>
      <w:r w:rsidR="0070052E">
        <w:rPr>
          <w:rFonts w:cs="Helvetica"/>
        </w:rPr>
        <w:fldChar w:fldCharType="separate"/>
      </w:r>
      <w:r w:rsidR="0070052E">
        <w:t xml:space="preserve">Figure </w:t>
      </w:r>
      <w:r w:rsidR="0070052E">
        <w:rPr>
          <w:noProof/>
        </w:rPr>
        <w:t>1</w:t>
      </w:r>
      <w:r w:rsidR="0070052E">
        <w:rPr>
          <w:rFonts w:cs="Helvetica"/>
        </w:rPr>
        <w:fldChar w:fldCharType="end"/>
      </w:r>
      <w:r w:rsidR="0070052E">
        <w:rPr>
          <w:rFonts w:cs="Helvetica"/>
        </w:rPr>
        <w:t xml:space="preserve">; the ALS Differential Mode Detection is shown in </w:t>
      </w:r>
      <w:r w:rsidR="0070052E">
        <w:rPr>
          <w:rFonts w:cs="Helvetica"/>
        </w:rPr>
        <w:fldChar w:fldCharType="begin"/>
      </w:r>
      <w:r w:rsidR="0070052E">
        <w:rPr>
          <w:rFonts w:cs="Helvetica"/>
        </w:rPr>
        <w:instrText xml:space="preserve"> REF _Ref260906446 \h </w:instrText>
      </w:r>
      <w:r w:rsidR="0070052E">
        <w:rPr>
          <w:rFonts w:cs="Helvetica"/>
        </w:rPr>
      </w:r>
      <w:r w:rsidR="0070052E">
        <w:rPr>
          <w:rFonts w:cs="Helvetica"/>
        </w:rPr>
        <w:fldChar w:fldCharType="separate"/>
      </w:r>
      <w:r w:rsidR="0070052E">
        <w:t xml:space="preserve">Figure </w:t>
      </w:r>
      <w:r w:rsidR="0070052E">
        <w:rPr>
          <w:noProof/>
        </w:rPr>
        <w:t>2</w:t>
      </w:r>
      <w:r w:rsidR="0070052E">
        <w:rPr>
          <w:rFonts w:cs="Helvetica"/>
        </w:rPr>
        <w:fldChar w:fldCharType="end"/>
      </w:r>
      <w:r>
        <w:rPr>
          <w:rFonts w:cs="Helvetica"/>
        </w:rPr>
        <w:t>.</w:t>
      </w:r>
    </w:p>
    <w:p w14:paraId="3B17F3A7" w14:textId="77777777" w:rsidR="00DE582A" w:rsidRDefault="00DE582A" w:rsidP="001E0EAB">
      <w:pPr>
        <w:jc w:val="left"/>
        <w:rPr>
          <w:rFonts w:cs="Helvetica"/>
        </w:rPr>
      </w:pPr>
    </w:p>
    <w:p w14:paraId="7EDB7403" w14:textId="77777777" w:rsidR="00DE582A" w:rsidRDefault="00DE582A" w:rsidP="00DE582A">
      <w:pPr>
        <w:keepNext/>
        <w:jc w:val="left"/>
      </w:pPr>
      <w:r>
        <w:rPr>
          <w:noProof/>
        </w:rPr>
        <w:drawing>
          <wp:inline distT="0" distB="0" distL="0" distR="0" wp14:anchorId="31B0FD3E" wp14:editId="10FC5365">
            <wp:extent cx="6089650" cy="30803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S_VCOsVertexCM.pdf"/>
                    <pic:cNvPicPr/>
                  </pic:nvPicPr>
                  <pic:blipFill>
                    <a:blip r:embed="rId9">
                      <a:extLst>
                        <a:ext uri="{28A0092B-C50C-407E-A947-70E740481C1C}">
                          <a14:useLocalDpi xmlns:a14="http://schemas.microsoft.com/office/drawing/2010/main" val="0"/>
                        </a:ext>
                      </a:extLst>
                    </a:blip>
                    <a:stretch>
                      <a:fillRect/>
                    </a:stretch>
                  </pic:blipFill>
                  <pic:spPr>
                    <a:xfrm>
                      <a:off x="0" y="0"/>
                      <a:ext cx="6089650" cy="3080385"/>
                    </a:xfrm>
                    <a:prstGeom prst="rect">
                      <a:avLst/>
                    </a:prstGeom>
                  </pic:spPr>
                </pic:pic>
              </a:graphicData>
            </a:graphic>
          </wp:inline>
        </w:drawing>
      </w:r>
    </w:p>
    <w:p w14:paraId="22EF80E2" w14:textId="1B2AE753" w:rsidR="00DE582A" w:rsidRDefault="00DE582A" w:rsidP="00DE582A">
      <w:pPr>
        <w:pStyle w:val="Caption"/>
        <w:rPr>
          <w:b w:val="0"/>
        </w:rPr>
      </w:pPr>
      <w:bookmarkStart w:id="0" w:name="_Ref260906355"/>
      <w:proofErr w:type="gramStart"/>
      <w:r>
        <w:t xml:space="preserve">Figure </w:t>
      </w:r>
      <w:proofErr w:type="gramEnd"/>
      <w:r>
        <w:fldChar w:fldCharType="begin"/>
      </w:r>
      <w:r>
        <w:instrText xml:space="preserve"> SEQ Figure \* ARABIC </w:instrText>
      </w:r>
      <w:r>
        <w:fldChar w:fldCharType="separate"/>
      </w:r>
      <w:r w:rsidR="00F80B4D">
        <w:rPr>
          <w:noProof/>
        </w:rPr>
        <w:t>1</w:t>
      </w:r>
      <w:r>
        <w:fldChar w:fldCharType="end"/>
      </w:r>
      <w:bookmarkEnd w:id="0"/>
      <w:proofErr w:type="gramStart"/>
      <w:r>
        <w:t>.</w:t>
      </w:r>
      <w:proofErr w:type="gramEnd"/>
      <w:r>
        <w:rPr>
          <w:b w:val="0"/>
        </w:rPr>
        <w:t xml:space="preserve"> </w:t>
      </w:r>
      <w:proofErr w:type="gramStart"/>
      <w:r>
        <w:rPr>
          <w:b w:val="0"/>
        </w:rPr>
        <w:t>Block diagram of the ALS Common Mode Detection scheme.</w:t>
      </w:r>
      <w:proofErr w:type="gramEnd"/>
      <w:r>
        <w:rPr>
          <w:b w:val="0"/>
        </w:rPr>
        <w:t xml:space="preserve"> FDD: Frequency Difference Divider. Each FDD is fed with a 71 MHz reference signal (not shown). Though the X-arm beam is shown, the heterodyne detection could equally well be done with the Y-arm ALS beam.</w:t>
      </w:r>
    </w:p>
    <w:p w14:paraId="471CDCEB" w14:textId="77777777" w:rsidR="00F80B4D" w:rsidRDefault="00F80B4D" w:rsidP="00F80B4D"/>
    <w:p w14:paraId="10F736C3" w14:textId="77777777" w:rsidR="00F80B4D" w:rsidRDefault="00F80B4D" w:rsidP="00F80B4D">
      <w:pPr>
        <w:keepNext/>
      </w:pPr>
      <w:r>
        <w:rPr>
          <w:noProof/>
        </w:rPr>
        <w:lastRenderedPageBreak/>
        <w:drawing>
          <wp:inline distT="0" distB="0" distL="0" distR="0" wp14:anchorId="0F7B69CE" wp14:editId="75465F95">
            <wp:extent cx="6089650" cy="36398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S_VCOsVertexDIFF.pdf"/>
                    <pic:cNvPicPr/>
                  </pic:nvPicPr>
                  <pic:blipFill>
                    <a:blip r:embed="rId10">
                      <a:extLst>
                        <a:ext uri="{28A0092B-C50C-407E-A947-70E740481C1C}">
                          <a14:useLocalDpi xmlns:a14="http://schemas.microsoft.com/office/drawing/2010/main" val="0"/>
                        </a:ext>
                      </a:extLst>
                    </a:blip>
                    <a:stretch>
                      <a:fillRect/>
                    </a:stretch>
                  </pic:blipFill>
                  <pic:spPr>
                    <a:xfrm>
                      <a:off x="0" y="0"/>
                      <a:ext cx="6089650" cy="3639820"/>
                    </a:xfrm>
                    <a:prstGeom prst="rect">
                      <a:avLst/>
                    </a:prstGeom>
                  </pic:spPr>
                </pic:pic>
              </a:graphicData>
            </a:graphic>
          </wp:inline>
        </w:drawing>
      </w:r>
    </w:p>
    <w:p w14:paraId="3953FBCA" w14:textId="502830EA" w:rsidR="00F80B4D" w:rsidRDefault="00F80B4D" w:rsidP="00F80B4D">
      <w:pPr>
        <w:pStyle w:val="Caption"/>
        <w:rPr>
          <w:b w:val="0"/>
        </w:rPr>
      </w:pPr>
      <w:bookmarkStart w:id="1" w:name="_Ref260906446"/>
      <w:proofErr w:type="gramStart"/>
      <w:r>
        <w:t xml:space="preserve">Figure </w:t>
      </w:r>
      <w:fldSimple w:instr=" SEQ Figure \* ARABIC ">
        <w:r>
          <w:rPr>
            <w:noProof/>
          </w:rPr>
          <w:t>2</w:t>
        </w:r>
      </w:fldSimple>
      <w:bookmarkEnd w:id="1"/>
      <w:r>
        <w:t>.</w:t>
      </w:r>
      <w:proofErr w:type="gramEnd"/>
      <w:r>
        <w:rPr>
          <w:b w:val="0"/>
        </w:rPr>
        <w:t xml:space="preserve"> </w:t>
      </w:r>
      <w:proofErr w:type="gramStart"/>
      <w:r w:rsidR="0027530E">
        <w:rPr>
          <w:b w:val="0"/>
        </w:rPr>
        <w:t>Block diagram of the ALS Differential Mode Detection scheme.</w:t>
      </w:r>
      <w:proofErr w:type="gramEnd"/>
      <w:r w:rsidR="0027530E">
        <w:rPr>
          <w:b w:val="0"/>
        </w:rPr>
        <w:t xml:space="preserve"> See LIGO-T1300833 for the nominal ALS RF frequencies.</w:t>
      </w:r>
    </w:p>
    <w:p w14:paraId="279D1480" w14:textId="2A322942" w:rsidR="0027530E" w:rsidRDefault="00AE2E6B" w:rsidP="00AE2E6B">
      <w:pPr>
        <w:pStyle w:val="Heading2"/>
      </w:pPr>
      <w:r>
        <w:t>Function of the Phase-locked loop</w:t>
      </w:r>
    </w:p>
    <w:p w14:paraId="05911729" w14:textId="59F85F43" w:rsidR="00AE2E6B" w:rsidRDefault="00AE2E6B" w:rsidP="00AE2E6B">
      <w:r>
        <w:t>In principle the output of th</w:t>
      </w:r>
      <w:r w:rsidR="00EB6F58">
        <w:t xml:space="preserve">e phase-frequency discriminator can provide the error signal for the ALS Common and Differential modes. However, when the signals go outside the phase mode of the PFD, the output flips between high and low. This was found to be unusable for CM control, as the transitions would kick the IMC (input mode cleaner) out of lock. </w:t>
      </w:r>
    </w:p>
    <w:p w14:paraId="286B8574" w14:textId="19884DFA" w:rsidR="00EB6F58" w:rsidRDefault="00C67039" w:rsidP="00AE2E6B">
      <w:r>
        <w:t>Instead, a</w:t>
      </w:r>
      <w:r w:rsidR="00EB6F58">
        <w:t xml:space="preserve"> wide-band electronic </w:t>
      </w:r>
      <w:r>
        <w:t>loop is wrapped around the PFD and VCO, keeping the PFD always in phase detection mode. The ALS error signal (Common and Differential) is then taken from the control signal of the PLL, which is proportional to the relevant frequency difference in a continuous fashion.</w:t>
      </w:r>
    </w:p>
    <w:p w14:paraId="14795F3D" w14:textId="0F4754CB" w:rsidR="00B97FB2" w:rsidRPr="00AE2E6B" w:rsidRDefault="00B97FB2" w:rsidP="00B97FB2">
      <w:pPr>
        <w:pStyle w:val="Heading2"/>
      </w:pPr>
      <w:r>
        <w:t>Component descriptions</w:t>
      </w:r>
    </w:p>
    <w:p w14:paraId="30E9669D" w14:textId="5B91174A" w:rsidR="0027530E" w:rsidRDefault="005D22A8" w:rsidP="0027530E">
      <w:r>
        <w:rPr>
          <w:b/>
          <w:i/>
        </w:rPr>
        <w:t>BBPD.</w:t>
      </w:r>
      <w:r>
        <w:t xml:space="preserve"> This is the custom </w:t>
      </w:r>
      <w:proofErr w:type="spellStart"/>
      <w:r>
        <w:t>aLIGO</w:t>
      </w:r>
      <w:proofErr w:type="spellEnd"/>
      <w:r>
        <w:t xml:space="preserve"> broadband </w:t>
      </w:r>
      <w:proofErr w:type="spellStart"/>
      <w:r>
        <w:t>photodetector</w:t>
      </w:r>
      <w:proofErr w:type="spellEnd"/>
      <w:r>
        <w:t xml:space="preserve">, </w:t>
      </w:r>
      <w:hyperlink r:id="rId11" w:history="1">
        <w:r w:rsidRPr="005D22A8">
          <w:rPr>
            <w:rStyle w:val="Hyperlink"/>
          </w:rPr>
          <w:t>LIGO-E1200428</w:t>
        </w:r>
      </w:hyperlink>
      <w:r>
        <w:t>. From L1 (April 2014), typical signal levels are:</w:t>
      </w:r>
    </w:p>
    <w:p w14:paraId="7760E729" w14:textId="67EE1A06" w:rsidR="005D22A8" w:rsidRDefault="005D22A8" w:rsidP="00B97FB2">
      <w:pPr>
        <w:pStyle w:val="ListParagraph"/>
        <w:numPr>
          <w:ilvl w:val="0"/>
          <w:numId w:val="42"/>
        </w:numPr>
        <w:ind w:right="500"/>
      </w:pPr>
      <w:r>
        <w:t xml:space="preserve">ALS COMM. X-arm beam: 30 </w:t>
      </w:r>
      <w:proofErr w:type="spellStart"/>
      <w:proofErr w:type="gramStart"/>
      <w:r>
        <w:t>uW</w:t>
      </w:r>
      <w:proofErr w:type="spellEnd"/>
      <w:proofErr w:type="gramEnd"/>
      <w:r>
        <w:t xml:space="preserve">; doubled PSL beam: 80 </w:t>
      </w:r>
      <w:proofErr w:type="spellStart"/>
      <w:r>
        <w:t>uW</w:t>
      </w:r>
      <w:proofErr w:type="spellEnd"/>
      <w:r>
        <w:t xml:space="preserve">; beat signal at output: -22 </w:t>
      </w:r>
      <w:proofErr w:type="spellStart"/>
      <w:r>
        <w:t>dBm</w:t>
      </w:r>
      <w:proofErr w:type="spellEnd"/>
      <w:r>
        <w:t>.</w:t>
      </w:r>
    </w:p>
    <w:p w14:paraId="402F0C0D" w14:textId="1C5FBF14" w:rsidR="005D22A8" w:rsidRDefault="005D22A8" w:rsidP="005D22A8">
      <w:pPr>
        <w:pStyle w:val="ListParagraph"/>
        <w:numPr>
          <w:ilvl w:val="0"/>
          <w:numId w:val="42"/>
        </w:numPr>
      </w:pPr>
      <w:r>
        <w:t xml:space="preserve">ALS DIFF. X-arm beam: 30 </w:t>
      </w:r>
      <w:proofErr w:type="spellStart"/>
      <w:r>
        <w:t>uW</w:t>
      </w:r>
      <w:proofErr w:type="spellEnd"/>
      <w:r>
        <w:t xml:space="preserve">; Y-arm beam: 60 </w:t>
      </w:r>
      <w:proofErr w:type="spellStart"/>
      <w:r>
        <w:t>uW</w:t>
      </w:r>
      <w:proofErr w:type="spellEnd"/>
      <w:r>
        <w:t xml:space="preserve">; beat signal at output: -27 </w:t>
      </w:r>
      <w:proofErr w:type="spellStart"/>
      <w:r>
        <w:t>dBm</w:t>
      </w:r>
      <w:proofErr w:type="spellEnd"/>
    </w:p>
    <w:p w14:paraId="203226AD" w14:textId="2F996E5A" w:rsidR="005D22A8" w:rsidRDefault="005D22A8" w:rsidP="005D22A8">
      <w:r>
        <w:rPr>
          <w:b/>
          <w:i/>
        </w:rPr>
        <w:t>Phase/frequency detector.</w:t>
      </w:r>
      <w:r>
        <w:t xml:space="preserve">  </w:t>
      </w:r>
      <w:hyperlink r:id="rId12" w:history="1">
        <w:r w:rsidR="00F3572F" w:rsidRPr="00F3572F">
          <w:rPr>
            <w:rStyle w:val="Hyperlink"/>
          </w:rPr>
          <w:t>LIGO-E1200114</w:t>
        </w:r>
      </w:hyperlink>
      <w:r w:rsidR="00F3572F">
        <w:t xml:space="preserve">. </w:t>
      </w:r>
      <w:r w:rsidR="00BF74B8">
        <w:t xml:space="preserve">A digital phase/frequency discriminator is used as the phase detector for the PLL. Compared to an analog mixer, it has the advantage that it produces an </w:t>
      </w:r>
      <w:r w:rsidR="00230558">
        <w:t>output with the correct sign even if the two input frequencies are not equal to each other. This means the PLL will always lock, even with initially unequal frequencies.</w:t>
      </w:r>
    </w:p>
    <w:p w14:paraId="3C98E309" w14:textId="026B4A52" w:rsidR="002A1463" w:rsidRDefault="002A1463" w:rsidP="005D22A8">
      <w:r>
        <w:rPr>
          <w:b/>
          <w:i/>
        </w:rPr>
        <w:lastRenderedPageBreak/>
        <w:t>Low-noise VCO.</w:t>
      </w:r>
      <w:r>
        <w:t xml:space="preserve"> </w:t>
      </w:r>
      <w:hyperlink r:id="rId13" w:history="1">
        <w:r w:rsidRPr="002A1463">
          <w:rPr>
            <w:rStyle w:val="Hyperlink"/>
          </w:rPr>
          <w:t>LIGO-E1200120</w:t>
        </w:r>
      </w:hyperlink>
      <w:r>
        <w:t xml:space="preserve">. </w:t>
      </w:r>
      <w:r w:rsidR="002E3AA8">
        <w:t xml:space="preserve">The standard </w:t>
      </w:r>
      <w:proofErr w:type="spellStart"/>
      <w:r w:rsidR="002E3AA8">
        <w:t>aLIGO</w:t>
      </w:r>
      <w:proofErr w:type="spellEnd"/>
      <w:r w:rsidR="002E3AA8">
        <w:t xml:space="preserve"> </w:t>
      </w:r>
      <w:r w:rsidR="00E06954">
        <w:t xml:space="preserve">80 MHz </w:t>
      </w:r>
      <w:r w:rsidR="002E3AA8">
        <w:t xml:space="preserve">VCO has a frequency tuning range of </w:t>
      </w:r>
      <w:r w:rsidR="00E06954">
        <w:t xml:space="preserve">2 </w:t>
      </w:r>
      <w:proofErr w:type="spellStart"/>
      <w:r w:rsidR="00E06954">
        <w:t>MHz.</w:t>
      </w:r>
      <w:proofErr w:type="spellEnd"/>
      <w:r w:rsidR="00E06954">
        <w:t xml:space="preserve"> This is more than enough, as it corresponds to 50 </w:t>
      </w:r>
      <w:proofErr w:type="gramStart"/>
      <w:r w:rsidR="00E06954">
        <w:t>free-spectral-ranges</w:t>
      </w:r>
      <w:proofErr w:type="gramEnd"/>
      <w:r w:rsidR="00E06954">
        <w:t xml:space="preserve"> of an arm cavity. On the other hand the stability of the output frequenc</w:t>
      </w:r>
      <w:r w:rsidR="0070052E">
        <w:t>y is measured to be 16 Hz-</w:t>
      </w:r>
      <w:proofErr w:type="spellStart"/>
      <w:r w:rsidR="0070052E">
        <w:t>rms</w:t>
      </w:r>
      <w:proofErr w:type="spellEnd"/>
      <w:r w:rsidR="0070052E">
        <w:t xml:space="preserve"> (</w:t>
      </w:r>
      <w:r w:rsidR="00E06954">
        <w:t>10</w:t>
      </w:r>
      <w:r w:rsidR="00E06954">
        <w:rPr>
          <w:vertAlign w:val="superscript"/>
        </w:rPr>
        <w:t>3</w:t>
      </w:r>
      <w:r w:rsidR="00E06954">
        <w:t xml:space="preserve"> sec time scale), which is greater than the target ALS stability of 10 Hz. Therefore a second frequency-difference divider is used to reduce both the noise and the range.</w:t>
      </w:r>
    </w:p>
    <w:p w14:paraId="32D574B8" w14:textId="5177AE41" w:rsidR="00E06954" w:rsidRDefault="00E06954" w:rsidP="005D22A8">
      <w:proofErr w:type="gramStart"/>
      <w:r>
        <w:rPr>
          <w:b/>
          <w:i/>
        </w:rPr>
        <w:t>Frequency-difference divider (FDD).</w:t>
      </w:r>
      <w:proofErr w:type="gramEnd"/>
      <w:r>
        <w:t xml:space="preserve"> </w:t>
      </w:r>
      <w:hyperlink r:id="rId14" w:history="1">
        <w:r w:rsidR="00850BCA" w:rsidRPr="00850BCA">
          <w:rPr>
            <w:rStyle w:val="Hyperlink"/>
          </w:rPr>
          <w:t>LIGO-T0900138</w:t>
        </w:r>
      </w:hyperlink>
      <w:r w:rsidR="00850BCA">
        <w:t>. The second FDD (in the FDD/PLL block) is implemented to improve the VCO frequency stability. This is a divide-by-10 FDD, so it reduces the frequency noise and the tuning range by 10x. The measured stability of the output frequency is 2 Hz-</w:t>
      </w:r>
      <w:proofErr w:type="spellStart"/>
      <w:r w:rsidR="00850BCA">
        <w:t>rms</w:t>
      </w:r>
      <w:proofErr w:type="spellEnd"/>
      <w:r w:rsidR="00850BCA">
        <w:t xml:space="preserve"> (10</w:t>
      </w:r>
      <w:r w:rsidR="00850BCA">
        <w:rPr>
          <w:vertAlign w:val="superscript"/>
        </w:rPr>
        <w:t xml:space="preserve">3 </w:t>
      </w:r>
      <w:r w:rsidR="00850BCA">
        <w:t xml:space="preserve">sec time scale). </w:t>
      </w:r>
    </w:p>
    <w:p w14:paraId="626A5D58" w14:textId="661F2EF0" w:rsidR="00E57EEF" w:rsidRDefault="00E57EEF" w:rsidP="005D22A8">
      <w:r>
        <w:rPr>
          <w:b/>
          <w:i/>
        </w:rPr>
        <w:t>PLL servo.</w:t>
      </w:r>
      <w:r>
        <w:t xml:space="preserve"> </w:t>
      </w:r>
      <w:hyperlink r:id="rId15" w:history="1">
        <w:r w:rsidRPr="00E57EEF">
          <w:rPr>
            <w:rStyle w:val="Hyperlink"/>
          </w:rPr>
          <w:t>LIGO-E1300728</w:t>
        </w:r>
      </w:hyperlink>
      <w:r>
        <w:t xml:space="preserve">. </w:t>
      </w:r>
      <w:r w:rsidR="008C37ED">
        <w:t xml:space="preserve">This is an analog servo amplifier contained in the same chassis as the second FDD. </w:t>
      </w:r>
      <w:r w:rsidR="007B11C1">
        <w:t xml:space="preserve">It contains a variable gain amplifier and multiple selectable filter stages. It is designed to accommodate a PLL bandwidth up to ~100 kHz, though typically the PLL is run with a unity gain of a few tens of kilohertz. </w:t>
      </w:r>
      <w:r w:rsidR="009C4F1E">
        <w:t>The PLL open loop shape is: 1/</w:t>
      </w:r>
      <w:r w:rsidR="009C4F1E" w:rsidRPr="009C4F1E">
        <w:rPr>
          <w:i/>
        </w:rPr>
        <w:t>f</w:t>
      </w:r>
      <w:r w:rsidR="009C4F1E">
        <w:t xml:space="preserve"> below 1.6 Hz; 1/</w:t>
      </w:r>
      <w:r w:rsidR="009C4F1E">
        <w:rPr>
          <w:i/>
        </w:rPr>
        <w:t>f</w:t>
      </w:r>
      <w:r w:rsidR="009C4F1E">
        <w:t xml:space="preserve"> </w:t>
      </w:r>
      <w:r w:rsidR="009C4F1E" w:rsidRPr="009C4F1E">
        <w:rPr>
          <w:vertAlign w:val="superscript"/>
        </w:rPr>
        <w:t>2</w:t>
      </w:r>
      <w:r w:rsidR="009C4F1E">
        <w:rPr>
          <w:vertAlign w:val="superscript"/>
        </w:rPr>
        <w:t xml:space="preserve"> </w:t>
      </w:r>
      <w:r w:rsidR="009C4F1E" w:rsidRPr="009C4F1E">
        <w:t xml:space="preserve">between </w:t>
      </w:r>
      <w:r w:rsidR="009C4F1E">
        <w:t>1.6 Hz and 17 kHz; 1/</w:t>
      </w:r>
      <w:r w:rsidR="009C4F1E">
        <w:rPr>
          <w:i/>
        </w:rPr>
        <w:t>f</w:t>
      </w:r>
      <w:r w:rsidR="009C4F1E">
        <w:t xml:space="preserve"> above 17 kHz. The </w:t>
      </w:r>
      <w:r w:rsidR="009C4F1E" w:rsidRPr="00657B1C">
        <w:rPr>
          <w:rFonts w:asciiTheme="minorHAnsi" w:hAnsiTheme="minorHAnsi" w:cs="Arial"/>
          <w:b/>
        </w:rPr>
        <w:t>f/</w:t>
      </w:r>
      <w:r w:rsidR="009C4F1E" w:rsidRPr="00657B1C">
        <w:rPr>
          <w:rFonts w:asciiTheme="minorHAnsi" w:hAnsiTheme="minorHAnsi" w:cs="Arial"/>
          <w:b/>
          <w:lang w:val="el-GR"/>
        </w:rPr>
        <w:t>φ</w:t>
      </w:r>
      <w:r w:rsidR="00657B1C" w:rsidRPr="00657B1C">
        <w:rPr>
          <w:rFonts w:asciiTheme="minorHAnsi" w:hAnsiTheme="minorHAnsi" w:cs="Arial"/>
          <w:b/>
        </w:rPr>
        <w:t xml:space="preserve"> readout</w:t>
      </w:r>
      <w:r w:rsidR="00657B1C">
        <w:rPr>
          <w:rFonts w:asciiTheme="minorHAnsi" w:hAnsiTheme="minorHAnsi" w:cs="Arial"/>
          <w:b/>
        </w:rPr>
        <w:t xml:space="preserve"> </w:t>
      </w:r>
      <w:r w:rsidR="00657B1C">
        <w:t xml:space="preserve">of the PLL servo board is a tap-off of the output sent to the VCO tuning input, though with additional selectable compensation filters. See </w:t>
      </w:r>
      <w:hyperlink r:id="rId16" w:history="1">
        <w:r w:rsidR="00657B1C" w:rsidRPr="00657B1C">
          <w:rPr>
            <w:rStyle w:val="Hyperlink"/>
          </w:rPr>
          <w:t>LIGO-D1300945</w:t>
        </w:r>
      </w:hyperlink>
      <w:r w:rsidR="00657B1C">
        <w:t xml:space="preserve"> for a block diagram of the PLL board.</w:t>
      </w:r>
    </w:p>
    <w:p w14:paraId="6E6F13F1" w14:textId="631777E8" w:rsidR="005441C5" w:rsidRDefault="005441C5" w:rsidP="005D22A8">
      <w:r>
        <w:rPr>
          <w:b/>
          <w:i/>
        </w:rPr>
        <w:t xml:space="preserve">RF </w:t>
      </w:r>
      <w:proofErr w:type="spellStart"/>
      <w:r>
        <w:rPr>
          <w:b/>
          <w:i/>
        </w:rPr>
        <w:t>doubler</w:t>
      </w:r>
      <w:proofErr w:type="spellEnd"/>
      <w:r>
        <w:rPr>
          <w:b/>
          <w:i/>
        </w:rPr>
        <w:t>.</w:t>
      </w:r>
      <w:r>
        <w:t xml:space="preserve"> </w:t>
      </w:r>
      <w:hyperlink r:id="rId17" w:history="1">
        <w:r w:rsidRPr="005441C5">
          <w:rPr>
            <w:rStyle w:val="Hyperlink"/>
          </w:rPr>
          <w:t>LIGO-E1200117</w:t>
        </w:r>
      </w:hyperlink>
      <w:r>
        <w:t xml:space="preserve">. The beat frequency between the X-arm and Y-arm ALS beams is 157.8 MHz, so the output of the second FDD is sent through an RF frequency </w:t>
      </w:r>
      <w:proofErr w:type="spellStart"/>
      <w:r>
        <w:t>doubler</w:t>
      </w:r>
      <w:proofErr w:type="spellEnd"/>
      <w:r>
        <w:t xml:space="preserve"> before it is sent to the PFD.</w:t>
      </w:r>
    </w:p>
    <w:p w14:paraId="4BAC84FB" w14:textId="4935ACFC" w:rsidR="00B41D54" w:rsidRPr="00B41D54" w:rsidRDefault="00B41D54" w:rsidP="005D22A8">
      <w:r>
        <w:rPr>
          <w:b/>
          <w:i/>
        </w:rPr>
        <w:t>RF amplifier.</w:t>
      </w:r>
      <w:r>
        <w:t xml:space="preserve"> </w:t>
      </w:r>
      <w:r w:rsidR="00B41E96">
        <w:t>If needed an RF amplifier (Mini-Circuits) can be used between the BBPD and the PFD.</w:t>
      </w:r>
    </w:p>
    <w:p w14:paraId="165FEDF4" w14:textId="3F120D04" w:rsidR="005441C5" w:rsidRPr="005441C5" w:rsidRDefault="005441C5" w:rsidP="005D22A8">
      <w:r>
        <w:rPr>
          <w:b/>
          <w:i/>
        </w:rPr>
        <w:t>Frequency offset control.</w:t>
      </w:r>
      <w:r>
        <w:t xml:space="preserve"> A main feature of the ALS system is the ability to control the frequency difference between the PSL and ALS beams, and thereby control the PSL frequency relative to the 1064 nm resonance of the arm cavities. This is done by adding an offset to the Common Mode VCO tuning input, summed in with the control signal coming from the PLL.</w:t>
      </w:r>
      <w:r w:rsidR="00EE6887">
        <w:t xml:space="preserve"> Through the action of the PLL servo, this offset shows up on the </w:t>
      </w:r>
      <w:r w:rsidR="00EE6887" w:rsidRPr="00657B1C">
        <w:rPr>
          <w:rFonts w:asciiTheme="minorHAnsi" w:hAnsiTheme="minorHAnsi" w:cs="Arial"/>
          <w:b/>
        </w:rPr>
        <w:t>f/</w:t>
      </w:r>
      <w:r w:rsidR="00EE6887" w:rsidRPr="00657B1C">
        <w:rPr>
          <w:rFonts w:asciiTheme="minorHAnsi" w:hAnsiTheme="minorHAnsi" w:cs="Arial"/>
          <w:b/>
          <w:lang w:val="el-GR"/>
        </w:rPr>
        <w:t>φ</w:t>
      </w:r>
      <w:r w:rsidR="00EE6887" w:rsidRPr="00657B1C">
        <w:rPr>
          <w:rFonts w:asciiTheme="minorHAnsi" w:hAnsiTheme="minorHAnsi" w:cs="Arial"/>
          <w:b/>
        </w:rPr>
        <w:t xml:space="preserve"> readout</w:t>
      </w:r>
      <w:r w:rsidR="00EE6887">
        <w:rPr>
          <w:rFonts w:asciiTheme="minorHAnsi" w:hAnsiTheme="minorHAnsi" w:cs="Arial"/>
          <w:b/>
        </w:rPr>
        <w:t xml:space="preserve"> </w:t>
      </w:r>
      <w:r w:rsidR="00EE6887">
        <w:t>of</w:t>
      </w:r>
      <w:r w:rsidR="0070052E">
        <w:t xml:space="preserve"> the PLL board, and it is this signal that is used as the CM error signal. The Differential Mode VCO also allows frequency offset control if desired.</w:t>
      </w:r>
    </w:p>
    <w:p w14:paraId="502BB62D" w14:textId="04595089" w:rsidR="00223FBC" w:rsidRDefault="00223FBC" w:rsidP="00223FBC">
      <w:pPr>
        <w:rPr>
          <w:i/>
        </w:rPr>
      </w:pPr>
      <w:r w:rsidRPr="00223FBC">
        <w:rPr>
          <w:i/>
        </w:rPr>
        <w:t xml:space="preserve"> </w:t>
      </w:r>
    </w:p>
    <w:p w14:paraId="3CBE187C" w14:textId="1253B3B7" w:rsidR="00983A64" w:rsidRDefault="00983A64" w:rsidP="00983A64">
      <w:pPr>
        <w:pStyle w:val="Heading1"/>
      </w:pPr>
      <w:r>
        <w:t>Related documents</w:t>
      </w:r>
    </w:p>
    <w:p w14:paraId="63BE3066" w14:textId="28D1F114" w:rsidR="00983A64" w:rsidRDefault="00983A64" w:rsidP="00983A64">
      <w:r>
        <w:t xml:space="preserve">This document describes only a portion of the ALS system. The overall ALS design is found in </w:t>
      </w:r>
      <w:hyperlink r:id="rId18" w:history="1">
        <w:r w:rsidRPr="00983A64">
          <w:rPr>
            <w:rStyle w:val="Hyperlink"/>
          </w:rPr>
          <w:t>LIGO-T0900144</w:t>
        </w:r>
      </w:hyperlink>
      <w:r>
        <w:t>. Other documents that are closely related to this one:</w:t>
      </w:r>
    </w:p>
    <w:p w14:paraId="0C155105" w14:textId="69155BF9" w:rsidR="00983A64" w:rsidRDefault="00983A64" w:rsidP="00983A64">
      <w:pPr>
        <w:rPr>
          <w:i/>
        </w:rPr>
      </w:pPr>
      <w:hyperlink r:id="rId19" w:history="1">
        <w:r w:rsidRPr="00983A64">
          <w:rPr>
            <w:rStyle w:val="Hyperlink"/>
          </w:rPr>
          <w:t>LIGO-T1300883</w:t>
        </w:r>
      </w:hyperlink>
      <w:r>
        <w:t xml:space="preserve">, </w:t>
      </w:r>
      <w:r>
        <w:rPr>
          <w:i/>
        </w:rPr>
        <w:t>Nominal ALS Frequencies</w:t>
      </w:r>
    </w:p>
    <w:p w14:paraId="73764641" w14:textId="17100421" w:rsidR="00983A64" w:rsidRDefault="0071073E" w:rsidP="00983A64">
      <w:pPr>
        <w:rPr>
          <w:i/>
        </w:rPr>
      </w:pPr>
      <w:hyperlink r:id="rId20" w:history="1">
        <w:r w:rsidRPr="0071073E">
          <w:rPr>
            <w:rStyle w:val="Hyperlink"/>
          </w:rPr>
          <w:t>LIGO-T1000555</w:t>
        </w:r>
      </w:hyperlink>
      <w:r>
        <w:t xml:space="preserve">, </w:t>
      </w:r>
      <w:proofErr w:type="spellStart"/>
      <w:r>
        <w:rPr>
          <w:i/>
        </w:rPr>
        <w:t>Adv</w:t>
      </w:r>
      <w:proofErr w:type="spellEnd"/>
      <w:r>
        <w:rPr>
          <w:i/>
        </w:rPr>
        <w:t xml:space="preserve"> LIGO Arm Length Stabilization – Vertex Layout Overview</w:t>
      </w:r>
    </w:p>
    <w:p w14:paraId="3F5410A9" w14:textId="77777777" w:rsidR="0071073E" w:rsidRPr="0071073E" w:rsidRDefault="0071073E" w:rsidP="00983A64">
      <w:pPr>
        <w:rPr>
          <w:i/>
        </w:rPr>
      </w:pPr>
      <w:bookmarkStart w:id="2" w:name="_GoBack"/>
      <w:bookmarkEnd w:id="2"/>
    </w:p>
    <w:sectPr w:rsidR="0071073E" w:rsidRPr="0071073E">
      <w:headerReference w:type="default" r:id="rId21"/>
      <w:footerReference w:type="even" r:id="rId22"/>
      <w:footerReference w:type="default" r:id="rId23"/>
      <w:headerReference w:type="first" r:id="rId24"/>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7F828" w14:textId="77777777" w:rsidR="00983A64" w:rsidRDefault="00983A64">
      <w:r>
        <w:separator/>
      </w:r>
    </w:p>
  </w:endnote>
  <w:endnote w:type="continuationSeparator" w:id="0">
    <w:p w14:paraId="55821BDF" w14:textId="77777777" w:rsidR="00983A64" w:rsidRDefault="0098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1E859A" w14:textId="77777777" w:rsidR="00983A64" w:rsidRDefault="00983A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F85F4D" w14:textId="77777777" w:rsidR="00983A64" w:rsidRDefault="00983A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71A22F" w14:textId="77777777" w:rsidR="00983A64" w:rsidRDefault="00983A64">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1073E">
      <w:rPr>
        <w:rStyle w:val="PageNumber"/>
        <w:noProof/>
      </w:rPr>
      <w:t>4</w:t>
    </w:r>
    <w:r>
      <w:rPr>
        <w:rStyle w:val="PageNumber"/>
      </w:rPr>
      <w:fldChar w:fldCharType="end"/>
    </w:r>
  </w:p>
  <w:p w14:paraId="3C67BF4A" w14:textId="77777777" w:rsidR="00983A64" w:rsidRDefault="00983A6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04E53" w14:textId="77777777" w:rsidR="00983A64" w:rsidRDefault="00983A64">
      <w:r>
        <w:separator/>
      </w:r>
    </w:p>
  </w:footnote>
  <w:footnote w:type="continuationSeparator" w:id="0">
    <w:p w14:paraId="78784471" w14:textId="77777777" w:rsidR="00983A64" w:rsidRDefault="00983A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3280F3" w14:textId="5A36180B" w:rsidR="00983A64" w:rsidRDefault="00983A64">
    <w:pPr>
      <w:pStyle w:val="Header"/>
      <w:tabs>
        <w:tab w:val="clear" w:pos="4320"/>
        <w:tab w:val="center" w:pos="4680"/>
      </w:tabs>
      <w:jc w:val="left"/>
      <w:rPr>
        <w:sz w:val="20"/>
      </w:rPr>
    </w:pPr>
    <w:r>
      <w:rPr>
        <w:b/>
        <w:bCs/>
        <w:i/>
        <w:iCs/>
        <w:color w:val="0000FF"/>
        <w:sz w:val="20"/>
      </w:rPr>
      <w:t>LIGO</w:t>
    </w:r>
    <w:r>
      <w:rPr>
        <w:sz w:val="20"/>
      </w:rPr>
      <w:tab/>
      <w:t>LIGO-T1400317-v1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32460F" w14:textId="77777777" w:rsidR="00983A64" w:rsidRDefault="00983A64">
    <w:pPr>
      <w:pStyle w:val="Header"/>
      <w:jc w:val="right"/>
    </w:pPr>
    <w:r>
      <w:rPr>
        <w:b/>
        <w:caps/>
      </w:rPr>
      <w:t>Laser Interferometer Gravitational Wave Observatory</w:t>
    </w:r>
    <w:r>
      <w:rPr>
        <w:noProof/>
        <w:sz w:val="20"/>
      </w:rPr>
      <w:t xml:space="preserve"> </w:t>
    </w:r>
    <w:r>
      <w:rPr>
        <w:noProof/>
        <w:sz w:val="20"/>
      </w:rPr>
      <w:pict w14:anchorId="6D33A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2126F"/>
    <w:multiLevelType w:val="hybridMultilevel"/>
    <w:tmpl w:val="BBD2DC1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08CA5183"/>
    <w:multiLevelType w:val="hybridMultilevel"/>
    <w:tmpl w:val="E8E8CB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252409B7"/>
    <w:multiLevelType w:val="hybridMultilevel"/>
    <w:tmpl w:val="B4AE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855E9"/>
    <w:multiLevelType w:val="hybridMultilevel"/>
    <w:tmpl w:val="4C68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35BD4CC4"/>
    <w:multiLevelType w:val="hybridMultilevel"/>
    <w:tmpl w:val="50C28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3374E3"/>
    <w:multiLevelType w:val="hybridMultilevel"/>
    <w:tmpl w:val="D396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0DF3028"/>
    <w:multiLevelType w:val="hybridMultilevel"/>
    <w:tmpl w:val="3FF86FC8"/>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6">
    <w:nsid w:val="5129651E"/>
    <w:multiLevelType w:val="hybridMultilevel"/>
    <w:tmpl w:val="0A46673E"/>
    <w:lvl w:ilvl="0" w:tplc="5E401208">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540755CE"/>
    <w:multiLevelType w:val="hybridMultilevel"/>
    <w:tmpl w:val="36829372"/>
    <w:lvl w:ilvl="0" w:tplc="F774BB7C">
      <w:start w:val="1"/>
      <w:numFmt w:val="decimal"/>
      <w:pStyle w:val="ListParagraph"/>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1">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4">
    <w:nsid w:val="68362DAD"/>
    <w:multiLevelType w:val="hybridMultilevel"/>
    <w:tmpl w:val="202A4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6">
    <w:nsid w:val="7A433082"/>
    <w:multiLevelType w:val="multilevel"/>
    <w:tmpl w:val="3FE8055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20"/>
  </w:num>
  <w:num w:numId="4">
    <w:abstractNumId w:val="4"/>
  </w:num>
  <w:num w:numId="5">
    <w:abstractNumId w:val="2"/>
  </w:num>
  <w:num w:numId="6">
    <w:abstractNumId w:val="6"/>
  </w:num>
  <w:num w:numId="7">
    <w:abstractNumId w:val="8"/>
  </w:num>
  <w:num w:numId="8">
    <w:abstractNumId w:val="18"/>
  </w:num>
  <w:num w:numId="9">
    <w:abstractNumId w:val="19"/>
  </w:num>
  <w:num w:numId="10">
    <w:abstractNumId w:val="25"/>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1"/>
  </w:num>
  <w:num w:numId="15">
    <w:abstractNumId w:val="23"/>
  </w:num>
  <w:num w:numId="16">
    <w:abstractNumId w:val="14"/>
  </w:num>
  <w:num w:numId="17">
    <w:abstractNumId w:val="11"/>
  </w:num>
  <w:num w:numId="18">
    <w:abstractNumId w:val="11"/>
  </w:num>
  <w:num w:numId="19">
    <w:abstractNumId w:val="11"/>
  </w:num>
  <w:num w:numId="20">
    <w:abstractNumId w:val="11"/>
  </w:num>
  <w:num w:numId="21">
    <w:abstractNumId w:val="11"/>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2"/>
  </w:num>
  <w:num w:numId="23">
    <w:abstractNumId w:val="22"/>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6"/>
  </w:num>
  <w:num w:numId="25">
    <w:abstractNumId w:val="26"/>
  </w:num>
  <w:num w:numId="26">
    <w:abstractNumId w:val="26"/>
  </w:num>
  <w:num w:numId="27">
    <w:abstractNumId w:val="26"/>
  </w:num>
  <w:num w:numId="28">
    <w:abstractNumId w:val="26"/>
  </w:num>
  <w:num w:numId="29">
    <w:abstractNumId w:val="17"/>
  </w:num>
  <w:num w:numId="30">
    <w:abstractNumId w:val="26"/>
  </w:num>
  <w:num w:numId="31">
    <w:abstractNumId w:val="26"/>
  </w:num>
  <w:num w:numId="32">
    <w:abstractNumId w:val="26"/>
  </w:num>
  <w:num w:numId="33">
    <w:abstractNumId w:val="26"/>
  </w:num>
  <w:num w:numId="34">
    <w:abstractNumId w:val="15"/>
  </w:num>
  <w:num w:numId="35">
    <w:abstractNumId w:val="16"/>
  </w:num>
  <w:num w:numId="36">
    <w:abstractNumId w:val="5"/>
  </w:num>
  <w:num w:numId="37">
    <w:abstractNumId w:val="12"/>
  </w:num>
  <w:num w:numId="38">
    <w:abstractNumId w:val="13"/>
  </w:num>
  <w:num w:numId="39">
    <w:abstractNumId w:val="3"/>
  </w:num>
  <w:num w:numId="40">
    <w:abstractNumId w:val="10"/>
  </w:num>
  <w:num w:numId="41">
    <w:abstractNumId w:val="9"/>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31D6C"/>
    <w:rsid w:val="000462DF"/>
    <w:rsid w:val="000516F0"/>
    <w:rsid w:val="0005630C"/>
    <w:rsid w:val="00087D0A"/>
    <w:rsid w:val="000D7FE6"/>
    <w:rsid w:val="00103B3C"/>
    <w:rsid w:val="001658F6"/>
    <w:rsid w:val="001956C3"/>
    <w:rsid w:val="001B3B66"/>
    <w:rsid w:val="001E0EAB"/>
    <w:rsid w:val="001E37B5"/>
    <w:rsid w:val="00223FBC"/>
    <w:rsid w:val="00230558"/>
    <w:rsid w:val="00255B4C"/>
    <w:rsid w:val="0027530E"/>
    <w:rsid w:val="00284A83"/>
    <w:rsid w:val="002A1463"/>
    <w:rsid w:val="002C3511"/>
    <w:rsid w:val="002D261B"/>
    <w:rsid w:val="002E3AA8"/>
    <w:rsid w:val="002E6071"/>
    <w:rsid w:val="003562C3"/>
    <w:rsid w:val="0036226E"/>
    <w:rsid w:val="003852AB"/>
    <w:rsid w:val="003A08DA"/>
    <w:rsid w:val="003C113D"/>
    <w:rsid w:val="003D4D8F"/>
    <w:rsid w:val="003F2D24"/>
    <w:rsid w:val="004040E9"/>
    <w:rsid w:val="0041715C"/>
    <w:rsid w:val="00424C1D"/>
    <w:rsid w:val="004349B8"/>
    <w:rsid w:val="00447419"/>
    <w:rsid w:val="00470D0C"/>
    <w:rsid w:val="004B1994"/>
    <w:rsid w:val="004C1454"/>
    <w:rsid w:val="004D2405"/>
    <w:rsid w:val="00523CFF"/>
    <w:rsid w:val="0054334E"/>
    <w:rsid w:val="005441C5"/>
    <w:rsid w:val="00563A05"/>
    <w:rsid w:val="0057409D"/>
    <w:rsid w:val="005B3401"/>
    <w:rsid w:val="005D22A8"/>
    <w:rsid w:val="005E13FE"/>
    <w:rsid w:val="005F48B2"/>
    <w:rsid w:val="0060173C"/>
    <w:rsid w:val="00611E22"/>
    <w:rsid w:val="006169EE"/>
    <w:rsid w:val="006221E4"/>
    <w:rsid w:val="00630815"/>
    <w:rsid w:val="00641C43"/>
    <w:rsid w:val="006436BC"/>
    <w:rsid w:val="00657B1C"/>
    <w:rsid w:val="006C7E20"/>
    <w:rsid w:val="006E77EF"/>
    <w:rsid w:val="0070052E"/>
    <w:rsid w:val="0071073E"/>
    <w:rsid w:val="007123D0"/>
    <w:rsid w:val="007313B9"/>
    <w:rsid w:val="00740D5B"/>
    <w:rsid w:val="00764EE3"/>
    <w:rsid w:val="007670A3"/>
    <w:rsid w:val="00776291"/>
    <w:rsid w:val="0078145B"/>
    <w:rsid w:val="007B11C1"/>
    <w:rsid w:val="007B6CA9"/>
    <w:rsid w:val="007D6DE6"/>
    <w:rsid w:val="007E6ACE"/>
    <w:rsid w:val="007F1A08"/>
    <w:rsid w:val="00832753"/>
    <w:rsid w:val="00837145"/>
    <w:rsid w:val="0083744A"/>
    <w:rsid w:val="00850BCA"/>
    <w:rsid w:val="00871F96"/>
    <w:rsid w:val="008A0585"/>
    <w:rsid w:val="008C37ED"/>
    <w:rsid w:val="008E6A3D"/>
    <w:rsid w:val="008E7496"/>
    <w:rsid w:val="008F0ADD"/>
    <w:rsid w:val="009022BF"/>
    <w:rsid w:val="00926C04"/>
    <w:rsid w:val="0093103C"/>
    <w:rsid w:val="00940EF8"/>
    <w:rsid w:val="00983A64"/>
    <w:rsid w:val="009C4F1E"/>
    <w:rsid w:val="00A04A06"/>
    <w:rsid w:val="00A34ABF"/>
    <w:rsid w:val="00A367B4"/>
    <w:rsid w:val="00A4470A"/>
    <w:rsid w:val="00A44B7F"/>
    <w:rsid w:val="00AA4301"/>
    <w:rsid w:val="00AD334E"/>
    <w:rsid w:val="00AE2E6B"/>
    <w:rsid w:val="00B10B7B"/>
    <w:rsid w:val="00B2512B"/>
    <w:rsid w:val="00B41D54"/>
    <w:rsid w:val="00B41E96"/>
    <w:rsid w:val="00B8062A"/>
    <w:rsid w:val="00B97FB2"/>
    <w:rsid w:val="00BB1536"/>
    <w:rsid w:val="00BC0AE7"/>
    <w:rsid w:val="00BC37C2"/>
    <w:rsid w:val="00BF74B8"/>
    <w:rsid w:val="00BF7F56"/>
    <w:rsid w:val="00C310C6"/>
    <w:rsid w:val="00C45BB7"/>
    <w:rsid w:val="00C67039"/>
    <w:rsid w:val="00CB2AD5"/>
    <w:rsid w:val="00CC3B9F"/>
    <w:rsid w:val="00D12631"/>
    <w:rsid w:val="00DB65B7"/>
    <w:rsid w:val="00DE582A"/>
    <w:rsid w:val="00E06954"/>
    <w:rsid w:val="00E21E19"/>
    <w:rsid w:val="00E2392E"/>
    <w:rsid w:val="00E271E7"/>
    <w:rsid w:val="00E57EEF"/>
    <w:rsid w:val="00E66298"/>
    <w:rsid w:val="00E82C49"/>
    <w:rsid w:val="00EB6F58"/>
    <w:rsid w:val="00EE6887"/>
    <w:rsid w:val="00F3572F"/>
    <w:rsid w:val="00F5292B"/>
    <w:rsid w:val="00F57558"/>
    <w:rsid w:val="00F65452"/>
    <w:rsid w:val="00F80B4D"/>
    <w:rsid w:val="00FB144A"/>
    <w:rsid w:val="00FB3DAE"/>
    <w:rsid w:val="00FC6B97"/>
    <w:rsid w:val="00FD295E"/>
    <w:rsid w:val="00FE3211"/>
    <w:rsid w:val="00FF1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E24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rsid w:val="00223FBC"/>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rsid w:val="00E2392E"/>
    <w:pPr>
      <w:widowControl w:val="0"/>
      <w:numPr>
        <w:numId w:val="29"/>
      </w:numPr>
      <w:autoSpaceDE w:val="0"/>
      <w:autoSpaceDN w:val="0"/>
      <w:adjustRightInd w:val="0"/>
      <w:spacing w:after="120"/>
      <w:ind w:right="-1411"/>
      <w:contextualSpacing/>
    </w:pPr>
    <w:rPr>
      <w:szCs w:val="24"/>
    </w:rPr>
  </w:style>
  <w:style w:type="table" w:styleId="TableGrid">
    <w:name w:val="Table Grid"/>
    <w:basedOn w:val="TableNormal"/>
    <w:rsid w:val="004040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4040E9"/>
    <w:pPr>
      <w:spacing w:before="1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List3">
    <w:name w:val="Table List 3"/>
    <w:basedOn w:val="TableNormal"/>
    <w:rsid w:val="004040E9"/>
    <w:pPr>
      <w:spacing w:before="1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character" w:styleId="FollowedHyperlink">
    <w:name w:val="FollowedHyperlink"/>
    <w:basedOn w:val="DefaultParagraphFont"/>
    <w:rsid w:val="0005630C"/>
    <w:rPr>
      <w:color w:val="800080" w:themeColor="followedHyperlink"/>
      <w:u w:val="single"/>
    </w:rPr>
  </w:style>
  <w:style w:type="table" w:styleId="TableGrid4">
    <w:name w:val="Table Grid 4"/>
    <w:basedOn w:val="TableNormal"/>
    <w:rsid w:val="006436BC"/>
    <w:pPr>
      <w:spacing w:before="12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List5">
    <w:name w:val="Table List 5"/>
    <w:basedOn w:val="TableNormal"/>
    <w:rsid w:val="006436BC"/>
    <w:pPr>
      <w:spacing w:before="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Grid7">
    <w:name w:val="Table Grid 7"/>
    <w:basedOn w:val="TableNormal"/>
    <w:rsid w:val="006436BC"/>
    <w:pPr>
      <w:spacing w:before="12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6">
    <w:name w:val="Table Grid 6"/>
    <w:basedOn w:val="TableNormal"/>
    <w:rsid w:val="006436BC"/>
    <w:pPr>
      <w:spacing w:before="12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6436BC"/>
    <w:pPr>
      <w:spacing w:before="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3">
    <w:name w:val="Table Grid 3"/>
    <w:basedOn w:val="TableNormal"/>
    <w:rsid w:val="00764EE3"/>
    <w:pPr>
      <w:spacing w:before="1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8">
    <w:name w:val="Table Grid 8"/>
    <w:basedOn w:val="TableNormal"/>
    <w:rsid w:val="00764EE3"/>
    <w:pPr>
      <w:spacing w:before="1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Grid1">
    <w:name w:val="Table Grid 1"/>
    <w:basedOn w:val="TableNormal"/>
    <w:rsid w:val="00764EE3"/>
    <w:pPr>
      <w:spacing w:before="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StylePr>
    <w:tblStylePr w:type="lastCol">
      <w:rPr>
        <w:i/>
        <w:iCs/>
      </w:rPr>
    </w:tblStylePr>
  </w:style>
  <w:style w:type="paragraph" w:styleId="BalloonText">
    <w:name w:val="Balloon Text"/>
    <w:basedOn w:val="Normal"/>
    <w:link w:val="BalloonTextChar"/>
    <w:rsid w:val="00DE582A"/>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rsid w:val="00DE582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rsid w:val="00223FBC"/>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rsid w:val="00E2392E"/>
    <w:pPr>
      <w:widowControl w:val="0"/>
      <w:numPr>
        <w:numId w:val="29"/>
      </w:numPr>
      <w:autoSpaceDE w:val="0"/>
      <w:autoSpaceDN w:val="0"/>
      <w:adjustRightInd w:val="0"/>
      <w:spacing w:after="120"/>
      <w:ind w:right="-1411"/>
      <w:contextualSpacing/>
    </w:pPr>
    <w:rPr>
      <w:szCs w:val="24"/>
    </w:rPr>
  </w:style>
  <w:style w:type="table" w:styleId="TableGrid">
    <w:name w:val="Table Grid"/>
    <w:basedOn w:val="TableNormal"/>
    <w:rsid w:val="004040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4040E9"/>
    <w:pPr>
      <w:spacing w:before="1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List3">
    <w:name w:val="Table List 3"/>
    <w:basedOn w:val="TableNormal"/>
    <w:rsid w:val="004040E9"/>
    <w:pPr>
      <w:spacing w:before="1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character" w:styleId="FollowedHyperlink">
    <w:name w:val="FollowedHyperlink"/>
    <w:basedOn w:val="DefaultParagraphFont"/>
    <w:rsid w:val="0005630C"/>
    <w:rPr>
      <w:color w:val="800080" w:themeColor="followedHyperlink"/>
      <w:u w:val="single"/>
    </w:rPr>
  </w:style>
  <w:style w:type="table" w:styleId="TableGrid4">
    <w:name w:val="Table Grid 4"/>
    <w:basedOn w:val="TableNormal"/>
    <w:rsid w:val="006436BC"/>
    <w:pPr>
      <w:spacing w:before="12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List5">
    <w:name w:val="Table List 5"/>
    <w:basedOn w:val="TableNormal"/>
    <w:rsid w:val="006436BC"/>
    <w:pPr>
      <w:spacing w:before="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Grid7">
    <w:name w:val="Table Grid 7"/>
    <w:basedOn w:val="TableNormal"/>
    <w:rsid w:val="006436BC"/>
    <w:pPr>
      <w:spacing w:before="12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6">
    <w:name w:val="Table Grid 6"/>
    <w:basedOn w:val="TableNormal"/>
    <w:rsid w:val="006436BC"/>
    <w:pPr>
      <w:spacing w:before="12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6436BC"/>
    <w:pPr>
      <w:spacing w:before="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3">
    <w:name w:val="Table Grid 3"/>
    <w:basedOn w:val="TableNormal"/>
    <w:rsid w:val="00764EE3"/>
    <w:pPr>
      <w:spacing w:before="1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8">
    <w:name w:val="Table Grid 8"/>
    <w:basedOn w:val="TableNormal"/>
    <w:rsid w:val="00764EE3"/>
    <w:pPr>
      <w:spacing w:before="1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Grid1">
    <w:name w:val="Table Grid 1"/>
    <w:basedOn w:val="TableNormal"/>
    <w:rsid w:val="00764EE3"/>
    <w:pPr>
      <w:spacing w:before="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StylePr>
    <w:tblStylePr w:type="lastCol">
      <w:rPr>
        <w:i/>
        <w:iCs/>
      </w:rPr>
    </w:tblStylePr>
  </w:style>
  <w:style w:type="paragraph" w:styleId="BalloonText">
    <w:name w:val="Balloon Text"/>
    <w:basedOn w:val="Normal"/>
    <w:link w:val="BalloonTextChar"/>
    <w:rsid w:val="00DE582A"/>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rsid w:val="00DE582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hyperlink" Target="https://dcc.ligo.org/LIGO-T1000555"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hyperlink" Target="https://dcc.ligo.org/LIGO-E1200428" TargetMode="External"/><Relationship Id="rId12" Type="http://schemas.openxmlformats.org/officeDocument/2006/relationships/hyperlink" Target="https://dcc.ligo.org/LIGO-E1200114" TargetMode="External"/><Relationship Id="rId13" Type="http://schemas.openxmlformats.org/officeDocument/2006/relationships/hyperlink" Target="https://dcc.ligo.org/LIGO-E1200120" TargetMode="External"/><Relationship Id="rId14" Type="http://schemas.openxmlformats.org/officeDocument/2006/relationships/hyperlink" Target="https://dcc.ligo.org/LIGO-T0900138" TargetMode="External"/><Relationship Id="rId15" Type="http://schemas.openxmlformats.org/officeDocument/2006/relationships/hyperlink" Target="https://dcc.ligo.org/LIGO-E1300728" TargetMode="External"/><Relationship Id="rId16" Type="http://schemas.openxmlformats.org/officeDocument/2006/relationships/hyperlink" Target="https://dcc.ligo.org/LIGO-D1300945" TargetMode="External"/><Relationship Id="rId17" Type="http://schemas.openxmlformats.org/officeDocument/2006/relationships/hyperlink" Target="https://dcc.ligo.org/LIGO-E1200117" TargetMode="External"/><Relationship Id="rId18" Type="http://schemas.openxmlformats.org/officeDocument/2006/relationships/hyperlink" Target="https://dcc.ligo.org/LIGO-T0900144" TargetMode="External"/><Relationship Id="rId19" Type="http://schemas.openxmlformats.org/officeDocument/2006/relationships/hyperlink" Target="https://dcc.ligo.org/LIGO-T1300883"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3FCC9-2F99-F943-AF89-91310346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4</Pages>
  <Words>965</Words>
  <Characters>5506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Peter Fritschel User</cp:lastModifiedBy>
  <cp:revision>12</cp:revision>
  <cp:lastPrinted>2013-11-08T14:17:00Z</cp:lastPrinted>
  <dcterms:created xsi:type="dcterms:W3CDTF">2014-04-30T13:53:00Z</dcterms:created>
  <dcterms:modified xsi:type="dcterms:W3CDTF">2014-05-05T15:24:00Z</dcterms:modified>
</cp:coreProperties>
</file>