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C2A6F" w14:textId="77777777" w:rsidR="00F36E70" w:rsidRPr="00796D9A" w:rsidRDefault="00F36E70">
      <w:pPr>
        <w:pStyle w:val="Header"/>
        <w:tabs>
          <w:tab w:val="clear" w:pos="4320"/>
          <w:tab w:val="clear" w:pos="8640"/>
        </w:tabs>
        <w:rPr>
          <w:rFonts w:ascii="Arial" w:hAnsi="Arial" w:cs="Arial"/>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928"/>
      </w:tblGrid>
      <w:tr w:rsidR="00F36E70" w14:paraId="400F2F7B" w14:textId="77777777" w:rsidTr="00F94405">
        <w:trPr>
          <w:trHeight w:val="314"/>
        </w:trPr>
        <w:tc>
          <w:tcPr>
            <w:tcW w:w="1170" w:type="dxa"/>
            <w:vAlign w:val="center"/>
          </w:tcPr>
          <w:p w14:paraId="019488F8" w14:textId="77777777" w:rsidR="00F36E70" w:rsidRDefault="00F36E70" w:rsidP="00FE0048">
            <w:pPr>
              <w:rPr>
                <w:rFonts w:ascii="Arial" w:hAnsi="Arial" w:cs="Arial"/>
                <w:sz w:val="24"/>
              </w:rPr>
            </w:pPr>
            <w:r>
              <w:rPr>
                <w:rFonts w:ascii="Arial" w:hAnsi="Arial" w:cs="Arial"/>
                <w:sz w:val="24"/>
              </w:rPr>
              <w:t>Date:</w:t>
            </w:r>
          </w:p>
        </w:tc>
        <w:tc>
          <w:tcPr>
            <w:tcW w:w="8928" w:type="dxa"/>
            <w:vAlign w:val="center"/>
          </w:tcPr>
          <w:p w14:paraId="3A573EC0" w14:textId="135E71D5" w:rsidR="00F36E70" w:rsidRDefault="00EE02E9" w:rsidP="00394743">
            <w:pPr>
              <w:pStyle w:val="Style1"/>
            </w:pPr>
            <w:r>
              <w:t>20</w:t>
            </w:r>
            <w:r w:rsidR="001B6561">
              <w:t xml:space="preserve"> </w:t>
            </w:r>
            <w:r w:rsidR="00394743">
              <w:t>Feb</w:t>
            </w:r>
            <w:r w:rsidR="00FE0048">
              <w:t xml:space="preserve"> 20</w:t>
            </w:r>
            <w:r w:rsidR="007936BA">
              <w:t>1</w:t>
            </w:r>
            <w:r w:rsidR="00BE0C18">
              <w:t>4</w:t>
            </w:r>
          </w:p>
        </w:tc>
      </w:tr>
      <w:tr w:rsidR="00FE0048" w14:paraId="16BA9397" w14:textId="77777777" w:rsidTr="00F94405">
        <w:trPr>
          <w:trHeight w:val="332"/>
        </w:trPr>
        <w:tc>
          <w:tcPr>
            <w:tcW w:w="1170" w:type="dxa"/>
            <w:vAlign w:val="center"/>
          </w:tcPr>
          <w:p w14:paraId="219D5DEC" w14:textId="77777777" w:rsidR="00FE0048" w:rsidRDefault="00FE0048" w:rsidP="00FE0048">
            <w:pPr>
              <w:rPr>
                <w:rFonts w:ascii="Arial" w:hAnsi="Arial" w:cs="Arial"/>
                <w:sz w:val="24"/>
              </w:rPr>
            </w:pPr>
            <w:r>
              <w:rPr>
                <w:rFonts w:ascii="Arial" w:hAnsi="Arial" w:cs="Arial"/>
                <w:sz w:val="24"/>
              </w:rPr>
              <w:t>Refer to:</w:t>
            </w:r>
          </w:p>
        </w:tc>
        <w:tc>
          <w:tcPr>
            <w:tcW w:w="8928" w:type="dxa"/>
            <w:vAlign w:val="center"/>
          </w:tcPr>
          <w:p w14:paraId="2D28F137" w14:textId="17CF9C13" w:rsidR="00FE0048" w:rsidRDefault="008401A6" w:rsidP="00394743">
            <w:pPr>
              <w:pStyle w:val="Style1"/>
            </w:pPr>
            <w:r>
              <w:t>E</w:t>
            </w:r>
            <w:r w:rsidR="00BE0C18">
              <w:t>14</w:t>
            </w:r>
            <w:r w:rsidR="007936BA">
              <w:t>000</w:t>
            </w:r>
            <w:r>
              <w:t>73</w:t>
            </w:r>
            <w:r w:rsidR="0029414A">
              <w:t>-v</w:t>
            </w:r>
            <w:r w:rsidR="009E6205">
              <w:t>3</w:t>
            </w:r>
          </w:p>
        </w:tc>
      </w:tr>
      <w:tr w:rsidR="00F36E70" w14:paraId="531C7511" w14:textId="77777777" w:rsidTr="00F94405">
        <w:trPr>
          <w:trHeight w:val="332"/>
        </w:trPr>
        <w:tc>
          <w:tcPr>
            <w:tcW w:w="1170" w:type="dxa"/>
            <w:vAlign w:val="center"/>
          </w:tcPr>
          <w:p w14:paraId="0EBCBBB6" w14:textId="77777777" w:rsidR="00F36E70" w:rsidRDefault="00FE0048" w:rsidP="00FE0048">
            <w:pPr>
              <w:rPr>
                <w:rFonts w:ascii="Arial" w:hAnsi="Arial" w:cs="Arial"/>
                <w:sz w:val="24"/>
              </w:rPr>
            </w:pPr>
            <w:r>
              <w:rPr>
                <w:rFonts w:ascii="Arial" w:hAnsi="Arial" w:cs="Arial"/>
                <w:sz w:val="24"/>
              </w:rPr>
              <w:t>Subject:</w:t>
            </w:r>
          </w:p>
        </w:tc>
        <w:tc>
          <w:tcPr>
            <w:tcW w:w="8928" w:type="dxa"/>
            <w:vAlign w:val="center"/>
          </w:tcPr>
          <w:p w14:paraId="7979DCE7" w14:textId="01EE584D" w:rsidR="00F36E70" w:rsidRPr="00873E40" w:rsidRDefault="00D31784" w:rsidP="00D31784">
            <w:pPr>
              <w:pStyle w:val="Style1"/>
              <w:rPr>
                <w:b/>
              </w:rPr>
            </w:pPr>
            <w:r>
              <w:rPr>
                <w:b/>
              </w:rPr>
              <w:t>Directive regarding preparation of</w:t>
            </w:r>
            <w:r w:rsidR="00394743">
              <w:rPr>
                <w:b/>
              </w:rPr>
              <w:t xml:space="preserve"> </w:t>
            </w:r>
            <w:proofErr w:type="spellStart"/>
            <w:r w:rsidR="00394743">
              <w:rPr>
                <w:b/>
              </w:rPr>
              <w:t>aLIGO</w:t>
            </w:r>
            <w:proofErr w:type="spellEnd"/>
            <w:r w:rsidR="00394743">
              <w:rPr>
                <w:b/>
              </w:rPr>
              <w:t xml:space="preserve"> Third Interferometer Viewports</w:t>
            </w:r>
          </w:p>
        </w:tc>
      </w:tr>
      <w:tr w:rsidR="00FE0048" w14:paraId="4AF9F102" w14:textId="77777777" w:rsidTr="00F94405">
        <w:trPr>
          <w:trHeight w:val="332"/>
        </w:trPr>
        <w:tc>
          <w:tcPr>
            <w:tcW w:w="1170" w:type="dxa"/>
            <w:vAlign w:val="center"/>
          </w:tcPr>
          <w:p w14:paraId="05C3DD6E" w14:textId="77777777" w:rsidR="00FE0048" w:rsidRDefault="00FE0048" w:rsidP="00FE0048">
            <w:pPr>
              <w:rPr>
                <w:rFonts w:ascii="Arial" w:hAnsi="Arial" w:cs="Arial"/>
                <w:sz w:val="24"/>
              </w:rPr>
            </w:pPr>
            <w:r>
              <w:rPr>
                <w:rFonts w:ascii="Arial" w:hAnsi="Arial" w:cs="Arial"/>
                <w:sz w:val="24"/>
              </w:rPr>
              <w:t>To:</w:t>
            </w:r>
          </w:p>
        </w:tc>
        <w:tc>
          <w:tcPr>
            <w:tcW w:w="8928" w:type="dxa"/>
            <w:vAlign w:val="center"/>
          </w:tcPr>
          <w:p w14:paraId="3E10402D" w14:textId="6BDC148C" w:rsidR="00394743" w:rsidRDefault="00394743">
            <w:pPr>
              <w:pStyle w:val="Style1"/>
            </w:pPr>
            <w:r>
              <w:t xml:space="preserve">All </w:t>
            </w:r>
            <w:proofErr w:type="spellStart"/>
            <w:r>
              <w:t>aLIGO</w:t>
            </w:r>
            <w:proofErr w:type="spellEnd"/>
            <w:r>
              <w:t xml:space="preserve"> Technical Staff Involved with Viewports:</w:t>
            </w:r>
          </w:p>
          <w:p w14:paraId="461266AE" w14:textId="28AB0770" w:rsidR="001B6561" w:rsidRPr="00E07533" w:rsidRDefault="00394743" w:rsidP="00394743">
            <w:pPr>
              <w:pStyle w:val="Style1"/>
            </w:pPr>
            <w:r>
              <w:t xml:space="preserve">Joe </w:t>
            </w:r>
            <w:proofErr w:type="spellStart"/>
            <w:r>
              <w:t>DeRenzis</w:t>
            </w:r>
            <w:proofErr w:type="spellEnd"/>
            <w:r>
              <w:t xml:space="preserve">, Jodi </w:t>
            </w:r>
            <w:proofErr w:type="spellStart"/>
            <w:r>
              <w:t>Fauver</w:t>
            </w:r>
            <w:proofErr w:type="spellEnd"/>
            <w:r>
              <w:t>, Chris Guido, Jeff Lewis</w:t>
            </w:r>
          </w:p>
        </w:tc>
      </w:tr>
      <w:tr w:rsidR="00394743" w14:paraId="530A5845" w14:textId="77777777" w:rsidTr="00F94405">
        <w:trPr>
          <w:trHeight w:val="332"/>
        </w:trPr>
        <w:tc>
          <w:tcPr>
            <w:tcW w:w="1170" w:type="dxa"/>
            <w:vAlign w:val="center"/>
          </w:tcPr>
          <w:p w14:paraId="55BD552B" w14:textId="0DC304DF" w:rsidR="00394743" w:rsidRDefault="00394743" w:rsidP="00FE0048">
            <w:pPr>
              <w:rPr>
                <w:rFonts w:ascii="Arial" w:hAnsi="Arial" w:cs="Arial"/>
                <w:sz w:val="24"/>
              </w:rPr>
            </w:pPr>
            <w:r>
              <w:rPr>
                <w:rFonts w:ascii="Arial" w:hAnsi="Arial" w:cs="Arial"/>
                <w:sz w:val="24"/>
              </w:rPr>
              <w:t>cc:</w:t>
            </w:r>
          </w:p>
        </w:tc>
        <w:tc>
          <w:tcPr>
            <w:tcW w:w="8928" w:type="dxa"/>
            <w:vAlign w:val="center"/>
          </w:tcPr>
          <w:p w14:paraId="5B792EEE" w14:textId="719675FB" w:rsidR="00394743" w:rsidRDefault="00394743">
            <w:pPr>
              <w:pStyle w:val="Style1"/>
            </w:pPr>
            <w:r>
              <w:t>adv-ligo@ligo.caltech.edu</w:t>
            </w:r>
          </w:p>
        </w:tc>
      </w:tr>
      <w:tr w:rsidR="00FE0048" w14:paraId="66F64FC2" w14:textId="77777777" w:rsidTr="00F94405">
        <w:trPr>
          <w:trHeight w:val="332"/>
        </w:trPr>
        <w:tc>
          <w:tcPr>
            <w:tcW w:w="1170" w:type="dxa"/>
            <w:vAlign w:val="center"/>
          </w:tcPr>
          <w:p w14:paraId="719FC4B9" w14:textId="107ADEB5" w:rsidR="00FE0048" w:rsidRDefault="00FE0048" w:rsidP="00FE0048">
            <w:pPr>
              <w:rPr>
                <w:rFonts w:ascii="Arial" w:hAnsi="Arial" w:cs="Arial"/>
                <w:sz w:val="24"/>
              </w:rPr>
            </w:pPr>
            <w:r>
              <w:rPr>
                <w:rFonts w:ascii="Arial" w:hAnsi="Arial" w:cs="Arial"/>
                <w:sz w:val="24"/>
              </w:rPr>
              <w:t>From:</w:t>
            </w:r>
          </w:p>
        </w:tc>
        <w:tc>
          <w:tcPr>
            <w:tcW w:w="8928" w:type="dxa"/>
            <w:vAlign w:val="center"/>
          </w:tcPr>
          <w:p w14:paraId="194AD5BC" w14:textId="77777777" w:rsidR="00FE0048" w:rsidRPr="002B2D48" w:rsidRDefault="001B6561">
            <w:pPr>
              <w:pStyle w:val="Style1"/>
            </w:pPr>
            <w:r>
              <w:t>Dennis Coyne</w:t>
            </w:r>
          </w:p>
        </w:tc>
      </w:tr>
    </w:tbl>
    <w:p w14:paraId="677D2D30" w14:textId="64C699AA" w:rsidR="000D3441" w:rsidRDefault="00D31784" w:rsidP="00415B04">
      <w:pPr>
        <w:pStyle w:val="StyleArial12ptJustified"/>
      </w:pPr>
      <w:r>
        <w:t>The viewports for the third interferometer should be prepared as follows prior to placing them into long term storage:</w:t>
      </w:r>
    </w:p>
    <w:p w14:paraId="3887A63E" w14:textId="47017848" w:rsidR="00EE02E9" w:rsidRDefault="00EE02E9" w:rsidP="00415B04">
      <w:pPr>
        <w:pStyle w:val="StyleArial12ptJustified"/>
      </w:pPr>
      <w:r w:rsidRPr="001F00DA">
        <w:rPr>
          <w:u w:val="single"/>
        </w:rPr>
        <w:t>Commercial Viewports</w:t>
      </w:r>
      <w:r>
        <w:t>:</w:t>
      </w:r>
    </w:p>
    <w:p w14:paraId="64D44166" w14:textId="36804E49" w:rsidR="00D31784" w:rsidRDefault="001F00DA" w:rsidP="00D31784">
      <w:pPr>
        <w:pStyle w:val="StyleArial12ptJustified"/>
        <w:numPr>
          <w:ilvl w:val="0"/>
          <w:numId w:val="21"/>
        </w:numPr>
      </w:pPr>
      <w:r>
        <w:t>Visually i</w:t>
      </w:r>
      <w:r w:rsidR="00D31784">
        <w:t>nspect the windows</w:t>
      </w:r>
      <w:r w:rsidR="00EE02E9">
        <w:t xml:space="preserve"> </w:t>
      </w:r>
      <w:r w:rsidR="00D31784">
        <w:t xml:space="preserve">and the </w:t>
      </w:r>
      <w:r>
        <w:t xml:space="preserve">knife edges of the </w:t>
      </w:r>
      <w:r w:rsidR="00D31784">
        <w:t>conflat flanges</w:t>
      </w:r>
      <w:r w:rsidR="00EE02E9">
        <w:t xml:space="preserve"> </w:t>
      </w:r>
      <w:r w:rsidR="00D31784">
        <w:t>and replace or repair as necessary.</w:t>
      </w:r>
    </w:p>
    <w:p w14:paraId="3977F2F4" w14:textId="42A97029" w:rsidR="00EE02E9" w:rsidRDefault="00EE02E9" w:rsidP="00D31784">
      <w:pPr>
        <w:pStyle w:val="StyleArial12ptJustified"/>
        <w:numPr>
          <w:ilvl w:val="0"/>
          <w:numId w:val="21"/>
        </w:numPr>
      </w:pPr>
      <w:r>
        <w:t>Clean and bake the commercial viewports</w:t>
      </w:r>
    </w:p>
    <w:p w14:paraId="27471E7E" w14:textId="00EA4412" w:rsidR="00EE02E9" w:rsidRDefault="009E6205" w:rsidP="00D31784">
      <w:pPr>
        <w:pStyle w:val="StyleArial12ptJustified"/>
        <w:numPr>
          <w:ilvl w:val="0"/>
          <w:numId w:val="21"/>
        </w:numPr>
      </w:pPr>
      <w:r>
        <w:t xml:space="preserve">Do </w:t>
      </w:r>
      <w:r w:rsidRPr="009E6205">
        <w:rPr>
          <w:u w:val="single"/>
        </w:rPr>
        <w:t>not</w:t>
      </w:r>
      <w:r>
        <w:t xml:space="preserve"> l</w:t>
      </w:r>
      <w:r w:rsidR="00EE02E9">
        <w:t xml:space="preserve">eak test </w:t>
      </w:r>
      <w:r>
        <w:t>or proof test</w:t>
      </w:r>
      <w:r w:rsidR="00EE02E9">
        <w:t xml:space="preserve"> the commercial viewports</w:t>
      </w:r>
    </w:p>
    <w:p w14:paraId="3F13A656" w14:textId="52A9C844" w:rsidR="00EE02E9" w:rsidRDefault="00EE02E9" w:rsidP="00EE02E9">
      <w:pPr>
        <w:pStyle w:val="StyleArial12ptJustified"/>
        <w:numPr>
          <w:ilvl w:val="0"/>
          <w:numId w:val="21"/>
        </w:numPr>
      </w:pPr>
      <w:r>
        <w:t>Wrap/bag</w:t>
      </w:r>
      <w:r w:rsidR="001F00DA">
        <w:t>/tag</w:t>
      </w:r>
      <w:r>
        <w:t xml:space="preserve"> the commercial viewports for storage using materials and methods suitable for maintaining the Class </w:t>
      </w:r>
      <w:proofErr w:type="gramStart"/>
      <w:r>
        <w:t>A</w:t>
      </w:r>
      <w:proofErr w:type="gramEnd"/>
      <w:r>
        <w:t xml:space="preserve"> cleanliness of these parts.</w:t>
      </w:r>
    </w:p>
    <w:p w14:paraId="4D931767" w14:textId="5E4722DE" w:rsidR="00EE02E9" w:rsidRDefault="00EE02E9" w:rsidP="00EE02E9">
      <w:pPr>
        <w:pStyle w:val="StyleArial12ptJustified"/>
        <w:numPr>
          <w:ilvl w:val="0"/>
          <w:numId w:val="21"/>
        </w:numPr>
      </w:pPr>
      <w:r>
        <w:t xml:space="preserve">Place the commercial viewports into long term storage using suitable packaging to protect the </w:t>
      </w:r>
      <w:r w:rsidR="001F00DA">
        <w:t>knife edges and the windows. In particular, if the viewports are to be stacked the packaging must be able to sustain the weight without risking damage to the viewports.</w:t>
      </w:r>
    </w:p>
    <w:p w14:paraId="1E70413E" w14:textId="6B488DC6" w:rsidR="00EE02E9" w:rsidRDefault="00EE02E9" w:rsidP="00EE02E9">
      <w:pPr>
        <w:pStyle w:val="StyleArial12ptJustified"/>
      </w:pPr>
      <w:r w:rsidRPr="001F00DA">
        <w:rPr>
          <w:u w:val="single"/>
        </w:rPr>
        <w:t>Custom (high optical quality) Viewports</w:t>
      </w:r>
      <w:r>
        <w:t>:</w:t>
      </w:r>
    </w:p>
    <w:p w14:paraId="386154BB" w14:textId="2E061E03" w:rsidR="001F00DA" w:rsidRDefault="001F00DA" w:rsidP="00EE02E9">
      <w:pPr>
        <w:pStyle w:val="StyleArial12ptJustified"/>
        <w:numPr>
          <w:ilvl w:val="0"/>
          <w:numId w:val="23"/>
        </w:numPr>
      </w:pPr>
      <w:r>
        <w:t xml:space="preserve">Visually inspect the </w:t>
      </w:r>
      <w:r w:rsidR="00EE02E9">
        <w:t>high optical quality wi</w:t>
      </w:r>
      <w:r>
        <w:t>ndows and replace if necessary</w:t>
      </w:r>
    </w:p>
    <w:p w14:paraId="3A84B2BB" w14:textId="405E521F" w:rsidR="001F00DA" w:rsidRDefault="001F00DA" w:rsidP="001F00DA">
      <w:pPr>
        <w:pStyle w:val="StyleArial12ptJustified"/>
        <w:numPr>
          <w:ilvl w:val="0"/>
          <w:numId w:val="23"/>
        </w:numPr>
      </w:pPr>
      <w:r>
        <w:t>After visual inspection of the high quality windows put them back into the packaging used for shipping by the manufacturer and place them into long term storage.</w:t>
      </w:r>
    </w:p>
    <w:p w14:paraId="40A10D12" w14:textId="7F02B112" w:rsidR="00EE02E9" w:rsidRDefault="001F00DA" w:rsidP="00EE02E9">
      <w:pPr>
        <w:pStyle w:val="StyleArial12ptJustified"/>
        <w:numPr>
          <w:ilvl w:val="0"/>
          <w:numId w:val="23"/>
        </w:numPr>
      </w:pPr>
      <w:r>
        <w:t>Inspect the</w:t>
      </w:r>
      <w:r w:rsidR="00EE02E9">
        <w:t xml:space="preserve"> </w:t>
      </w:r>
      <w:r>
        <w:t xml:space="preserve">knife edges of the </w:t>
      </w:r>
      <w:r w:rsidR="00EE02E9">
        <w:t>conflat flanges and replace or repair as necessary.</w:t>
      </w:r>
    </w:p>
    <w:p w14:paraId="50DD35A4" w14:textId="7CB18FC0" w:rsidR="00EE02E9" w:rsidRDefault="00EE02E9" w:rsidP="00EE02E9">
      <w:pPr>
        <w:pStyle w:val="StyleArial12ptJustified"/>
        <w:numPr>
          <w:ilvl w:val="0"/>
          <w:numId w:val="23"/>
        </w:numPr>
      </w:pPr>
      <w:r>
        <w:t xml:space="preserve">Clean and bake the custom viewport </w:t>
      </w:r>
      <w:r w:rsidR="00A14A58">
        <w:t>non-optical parts (</w:t>
      </w:r>
      <w:r>
        <w:t>machined parts</w:t>
      </w:r>
      <w:r w:rsidR="00A14A58">
        <w:t>,</w:t>
      </w:r>
      <w:r>
        <w:t xml:space="preserve"> fasteners</w:t>
      </w:r>
      <w:r w:rsidR="00A14A58">
        <w:t xml:space="preserve">, Viton </w:t>
      </w:r>
      <w:proofErr w:type="spellStart"/>
      <w:r w:rsidR="00A14A58">
        <w:t>o-rings</w:t>
      </w:r>
      <w:proofErr w:type="spellEnd"/>
      <w:r w:rsidR="00A14A58">
        <w:t xml:space="preserve">, </w:t>
      </w:r>
      <w:proofErr w:type="spellStart"/>
      <w:r w:rsidR="00A14A58">
        <w:t>Kapton</w:t>
      </w:r>
      <w:proofErr w:type="spellEnd"/>
      <w:r w:rsidR="00A14A58">
        <w:t xml:space="preserve"> shims), </w:t>
      </w:r>
      <w:r>
        <w:t xml:space="preserve">but </w:t>
      </w:r>
      <w:r w:rsidRPr="00EE02E9">
        <w:rPr>
          <w:u w:val="single"/>
        </w:rPr>
        <w:t>not</w:t>
      </w:r>
      <w:r>
        <w:t xml:space="preserve"> the high quality windows for these custom </w:t>
      </w:r>
      <w:r w:rsidR="00A14A58">
        <w:t>viewports.</w:t>
      </w:r>
    </w:p>
    <w:p w14:paraId="609BBA8E" w14:textId="77777777" w:rsidR="00EE02E9" w:rsidRDefault="00EE02E9" w:rsidP="00EE02E9">
      <w:pPr>
        <w:pStyle w:val="StyleArial12ptJustified"/>
        <w:numPr>
          <w:ilvl w:val="0"/>
          <w:numId w:val="23"/>
        </w:numPr>
      </w:pPr>
      <w:r>
        <w:t>Do not assemble the custom (high optical quality) viewports</w:t>
      </w:r>
    </w:p>
    <w:p w14:paraId="76C28C89" w14:textId="5BBD98A1" w:rsidR="001F00DA" w:rsidRDefault="001F00DA" w:rsidP="001F00DA">
      <w:pPr>
        <w:pStyle w:val="StyleArial12ptJustified"/>
        <w:numPr>
          <w:ilvl w:val="0"/>
          <w:numId w:val="23"/>
        </w:numPr>
      </w:pPr>
      <w:r>
        <w:t xml:space="preserve">Wrap/bag/tag the custom viewport parts for storage using materials and methods suitable for maintaining the Class </w:t>
      </w:r>
      <w:proofErr w:type="gramStart"/>
      <w:r>
        <w:t>A</w:t>
      </w:r>
      <w:proofErr w:type="gramEnd"/>
      <w:r>
        <w:t xml:space="preserve"> cleanliness of these parts.</w:t>
      </w:r>
    </w:p>
    <w:p w14:paraId="7DC0DF6F" w14:textId="611F8B00" w:rsidR="00EE02E9" w:rsidRDefault="001F00DA" w:rsidP="002D542F">
      <w:pPr>
        <w:pStyle w:val="StyleArial12ptJustified"/>
        <w:numPr>
          <w:ilvl w:val="0"/>
          <w:numId w:val="23"/>
        </w:numPr>
      </w:pPr>
      <w:r>
        <w:t xml:space="preserve">Place the custom viewport parts into long term storage using suitable packaging to protect the knife edges and the </w:t>
      </w:r>
      <w:r w:rsidR="002D542F">
        <w:t>fastener threads</w:t>
      </w:r>
      <w:r>
        <w:t xml:space="preserve">. In particular, if the </w:t>
      </w:r>
      <w:r w:rsidR="002D542F">
        <w:t>flanges</w:t>
      </w:r>
      <w:r>
        <w:t xml:space="preserve"> are to be stacked the packaging must be able to sustain the weight without risking damage to the </w:t>
      </w:r>
      <w:r w:rsidR="002D542F">
        <w:t>knife edges</w:t>
      </w:r>
      <w:r>
        <w:t>.</w:t>
      </w:r>
    </w:p>
    <w:p w14:paraId="477615B3" w14:textId="3998FD76" w:rsidR="00D31784" w:rsidRDefault="00D31784" w:rsidP="00D31784">
      <w:pPr>
        <w:pStyle w:val="StyleArial12ptJustified"/>
      </w:pPr>
      <w:r>
        <w:lastRenderedPageBreak/>
        <w:t xml:space="preserve">The rationale for the above directive follows. </w:t>
      </w:r>
    </w:p>
    <w:p w14:paraId="46122C05" w14:textId="422FA0F8" w:rsidR="00961F0F" w:rsidRDefault="00961F0F" w:rsidP="00415B04">
      <w:pPr>
        <w:pStyle w:val="StyleArial12ptJustified"/>
      </w:pPr>
      <w:r>
        <w:t>_______________</w:t>
      </w:r>
    </w:p>
    <w:p w14:paraId="31BA3C17" w14:textId="60A44593" w:rsidR="00415B04" w:rsidRDefault="006D6043" w:rsidP="00415B04">
      <w:pPr>
        <w:pStyle w:val="StyleArial12ptJustified"/>
      </w:pPr>
      <w:r>
        <w:t>The current documentation</w:t>
      </w:r>
      <w:r>
        <w:rPr>
          <w:rStyle w:val="FootnoteReference"/>
        </w:rPr>
        <w:footnoteReference w:id="1"/>
      </w:r>
      <w:r w:rsidRPr="006D6043">
        <w:rPr>
          <w:vertAlign w:val="superscript"/>
        </w:rPr>
        <w:t>,</w:t>
      </w:r>
      <w:r>
        <w:rPr>
          <w:rStyle w:val="FootnoteReference"/>
        </w:rPr>
        <w:footnoteReference w:id="2"/>
      </w:r>
      <w:r>
        <w:t xml:space="preserve"> regarding long term storage of viewports for the third interferometer does</w:t>
      </w:r>
      <w:r w:rsidR="00394743">
        <w:t xml:space="preserve"> </w:t>
      </w:r>
      <w:r>
        <w:t>not explicitly specify the condition of the viewports and any requirements with regard to their preparation prior to storage. The general guidance defined in section 3 of the Long Term Storage Plan (E1300001) stipulate</w:t>
      </w:r>
      <w:r w:rsidR="00DC2EAE">
        <w:t>s</w:t>
      </w:r>
      <w:r>
        <w:t xml:space="preserve"> that:</w:t>
      </w:r>
    </w:p>
    <w:p w14:paraId="21F40C91" w14:textId="48BC730E" w:rsidR="006D6043" w:rsidRDefault="006D6043" w:rsidP="006D6043">
      <w:pPr>
        <w:pStyle w:val="StyleArial12ptJustified"/>
        <w:numPr>
          <w:ilvl w:val="0"/>
          <w:numId w:val="19"/>
        </w:numPr>
      </w:pPr>
      <w:r>
        <w:t>The components will be cleaned (and presumably baked</w:t>
      </w:r>
      <w:r w:rsidR="00DC2EAE">
        <w:t xml:space="preserve"> if intended for in-vacuum service, as is the case for the viewports</w:t>
      </w:r>
      <w:r>
        <w:t>)</w:t>
      </w:r>
      <w:r w:rsidR="00DC2EAE">
        <w:t>, and</w:t>
      </w:r>
    </w:p>
    <w:p w14:paraId="162CD470" w14:textId="0096BD60" w:rsidR="006D6043" w:rsidRDefault="006D6043" w:rsidP="006D6043">
      <w:pPr>
        <w:pStyle w:val="StyleArial12ptJustified"/>
        <w:numPr>
          <w:ilvl w:val="0"/>
          <w:numId w:val="19"/>
        </w:numPr>
      </w:pPr>
      <w:r>
        <w:t xml:space="preserve">All assembly and testing will be performed to the point which best serves the needs to demonstrate that </w:t>
      </w:r>
      <w:r w:rsidR="00DC2EAE">
        <w:t xml:space="preserve">the </w:t>
      </w:r>
      <w:r>
        <w:t>assembly is functional, but allows storage with minimal disassembly.</w:t>
      </w:r>
    </w:p>
    <w:p w14:paraId="31EBC4D2" w14:textId="59D9DC6F" w:rsidR="00DC2EAE" w:rsidRDefault="00DC2EAE" w:rsidP="00DC2EAE">
      <w:pPr>
        <w:pStyle w:val="StyleArial12ptJustified"/>
      </w:pPr>
      <w:r>
        <w:t>Since the viewports form part of the vacuum boundary, and they are comprised of brittle (fracture sensitive) materials, they are safety critical elements. As a consequence, what is of paramount importance is that the integrity of the viewports be preserved. For this reason it is prudent to consider whether the default guidance (above) should apply, or whether other considerations dictate a different approach for the viewports.</w:t>
      </w:r>
    </w:p>
    <w:p w14:paraId="4E0C22E1" w14:textId="67EE3E3F" w:rsidR="00D96643" w:rsidRDefault="00D96643" w:rsidP="00DC2EAE">
      <w:pPr>
        <w:pStyle w:val="StyleArial12ptJustified"/>
      </w:pPr>
      <w:r>
        <w:t xml:space="preserve">The normal basic sequence of </w:t>
      </w:r>
      <w:r w:rsidR="007364D0">
        <w:t xml:space="preserve">processing </w:t>
      </w:r>
      <w:r>
        <w:t>steps for the viewports is as follows</w:t>
      </w:r>
      <w:bookmarkStart w:id="0" w:name="_Ref380651060"/>
      <w:r w:rsidR="007364D0">
        <w:rPr>
          <w:rStyle w:val="FootnoteReference"/>
        </w:rPr>
        <w:footnoteReference w:id="3"/>
      </w:r>
      <w:bookmarkEnd w:id="0"/>
      <w:r>
        <w:t>:</w:t>
      </w:r>
    </w:p>
    <w:p w14:paraId="223F0B91" w14:textId="48083F07" w:rsidR="00D96643" w:rsidRDefault="00D96643" w:rsidP="0064047D">
      <w:pPr>
        <w:pStyle w:val="StyleArial12ptJustified"/>
        <w:numPr>
          <w:ilvl w:val="0"/>
          <w:numId w:val="20"/>
        </w:numPr>
      </w:pPr>
      <w:r>
        <w:t>Inspect the window</w:t>
      </w:r>
      <w:r w:rsidR="00F21A14">
        <w:t xml:space="preserve"> and </w:t>
      </w:r>
      <w:r>
        <w:t>the conflat seal of the flange</w:t>
      </w:r>
    </w:p>
    <w:p w14:paraId="44BC938C" w14:textId="64B06803" w:rsidR="007364D0" w:rsidRDefault="007364D0" w:rsidP="00D96643">
      <w:pPr>
        <w:pStyle w:val="StyleArial12ptJustified"/>
        <w:numPr>
          <w:ilvl w:val="0"/>
          <w:numId w:val="20"/>
        </w:numPr>
      </w:pPr>
      <w:r>
        <w:t>Clean for UHV service</w:t>
      </w:r>
    </w:p>
    <w:p w14:paraId="210ABCD1" w14:textId="6ACE97C5" w:rsidR="00D96643" w:rsidRDefault="00D96643" w:rsidP="00D96643">
      <w:pPr>
        <w:pStyle w:val="StyleArial12ptJustified"/>
        <w:numPr>
          <w:ilvl w:val="0"/>
          <w:numId w:val="20"/>
        </w:numPr>
      </w:pPr>
      <w:r>
        <w:t>Assemble the viewport (for custom viewport units only)</w:t>
      </w:r>
    </w:p>
    <w:p w14:paraId="5385FD43" w14:textId="43480B3E" w:rsidR="00D96643" w:rsidRDefault="00D96643" w:rsidP="000B2DEF">
      <w:pPr>
        <w:pStyle w:val="StyleArial12ptJustified"/>
        <w:numPr>
          <w:ilvl w:val="0"/>
          <w:numId w:val="20"/>
        </w:numPr>
      </w:pPr>
      <w:r>
        <w:t>Leak and proof test the viewport</w:t>
      </w:r>
      <w:r w:rsidR="00F21A14">
        <w:t xml:space="preserve"> (and f</w:t>
      </w:r>
      <w:r>
        <w:t>inal inspection of the window element</w:t>
      </w:r>
      <w:r w:rsidR="00F21A14">
        <w:t>)</w:t>
      </w:r>
    </w:p>
    <w:p w14:paraId="4B137F33" w14:textId="60B3BA36" w:rsidR="007364D0" w:rsidRDefault="007364D0" w:rsidP="007364D0">
      <w:pPr>
        <w:pStyle w:val="StyleArial12ptJustified"/>
      </w:pPr>
      <w:r>
        <w:t>Let’s consider each step in the sequence.</w:t>
      </w:r>
      <w:bookmarkStart w:id="1" w:name="_GoBack"/>
      <w:bookmarkEnd w:id="1"/>
    </w:p>
    <w:p w14:paraId="199E15B7" w14:textId="14503279" w:rsidR="007364D0" w:rsidRDefault="00F21A14" w:rsidP="007364D0">
      <w:pPr>
        <w:pStyle w:val="StyleArial12ptJustified"/>
      </w:pPr>
      <w:r>
        <w:t xml:space="preserve">1) </w:t>
      </w:r>
      <w:r>
        <w:rPr>
          <w:u w:val="single"/>
        </w:rPr>
        <w:t>Inspect</w:t>
      </w:r>
      <w:r>
        <w:t xml:space="preserve">: </w:t>
      </w:r>
      <w:r w:rsidR="007364D0">
        <w:t>We should certainly inspect the windows of both our custom (high optical quality) and commercial viewports. Any windows/viewports which fail the inspection</w:t>
      </w:r>
      <w:r w:rsidR="00A14A58" w:rsidRPr="00A14A58">
        <w:rPr>
          <w:vertAlign w:val="superscript"/>
        </w:rPr>
        <w:fldChar w:fldCharType="begin"/>
      </w:r>
      <w:r w:rsidR="00A14A58" w:rsidRPr="00A14A58">
        <w:rPr>
          <w:vertAlign w:val="superscript"/>
        </w:rPr>
        <w:instrText xml:space="preserve"> NOTEREF _Ref380651060 \h </w:instrText>
      </w:r>
      <w:r w:rsidR="00A14A58">
        <w:rPr>
          <w:vertAlign w:val="superscript"/>
        </w:rPr>
        <w:instrText xml:space="preserve"> \* MERGEFORMAT </w:instrText>
      </w:r>
      <w:r w:rsidR="00A14A58" w:rsidRPr="00A14A58">
        <w:rPr>
          <w:vertAlign w:val="superscript"/>
        </w:rPr>
      </w:r>
      <w:r w:rsidR="00A14A58" w:rsidRPr="00A14A58">
        <w:rPr>
          <w:vertAlign w:val="superscript"/>
        </w:rPr>
        <w:fldChar w:fldCharType="separate"/>
      </w:r>
      <w:r w:rsidR="003C2248">
        <w:rPr>
          <w:vertAlign w:val="superscript"/>
        </w:rPr>
        <w:t>3</w:t>
      </w:r>
      <w:r w:rsidR="00A14A58" w:rsidRPr="00A14A58">
        <w:rPr>
          <w:vertAlign w:val="superscript"/>
        </w:rPr>
        <w:fldChar w:fldCharType="end"/>
      </w:r>
      <w:r w:rsidR="007364D0">
        <w:t xml:space="preserve"> must be replaced.</w:t>
      </w:r>
      <w:r w:rsidR="00FD7D01">
        <w:t xml:space="preserve"> Likewise, all conflat seals should be inspected and either repaired or replaced if damaged.</w:t>
      </w:r>
    </w:p>
    <w:p w14:paraId="14BB84FE" w14:textId="212D8326" w:rsidR="00FD7D01" w:rsidRDefault="00F21A14" w:rsidP="007364D0">
      <w:pPr>
        <w:pStyle w:val="StyleArial12ptJustified"/>
      </w:pPr>
      <w:r>
        <w:t xml:space="preserve">2) </w:t>
      </w:r>
      <w:r>
        <w:rPr>
          <w:u w:val="single"/>
        </w:rPr>
        <w:t>Clean</w:t>
      </w:r>
      <w:r>
        <w:t xml:space="preserve">: </w:t>
      </w:r>
      <w:r w:rsidR="00FD7D01">
        <w:t>Cleaning for UHV service (</w:t>
      </w:r>
      <w:r>
        <w:t xml:space="preserve">cleaning and baking to the </w:t>
      </w:r>
      <w:r w:rsidR="00FD7D01">
        <w:t>LIGO Class A</w:t>
      </w:r>
      <w:r w:rsidR="00FD7D01">
        <w:rPr>
          <w:rStyle w:val="FootnoteReference"/>
        </w:rPr>
        <w:footnoteReference w:id="4"/>
      </w:r>
      <w:r>
        <w:t xml:space="preserve"> standard</w:t>
      </w:r>
      <w:r w:rsidR="00FD7D01">
        <w:t>) requires that the parts be removed from the packing/shipping containers provided by the manufacturer</w:t>
      </w:r>
      <w:r>
        <w:t xml:space="preserve">s. Once Class A cleaned parts must be wrapped in ultra-clean, low particulate shedding materials. As a consequence alternate containers must be provided for storing, with care to protect the parts, for example from damage due to stacking. In addition alternate containers suitable for shipping must be designed and/or procured. (Note that shipping containers are beyond </w:t>
      </w:r>
      <w:proofErr w:type="spellStart"/>
      <w:r>
        <w:t>aLIGO</w:t>
      </w:r>
      <w:proofErr w:type="spellEnd"/>
      <w:r>
        <w:t xml:space="preserve"> project scope).</w:t>
      </w:r>
    </w:p>
    <w:p w14:paraId="0E65F485" w14:textId="49926D6C" w:rsidR="00F21A14" w:rsidRDefault="00F21A14" w:rsidP="00DC2EAE">
      <w:pPr>
        <w:pStyle w:val="StyleArial12ptJustified"/>
      </w:pPr>
      <w:r>
        <w:t xml:space="preserve">3) </w:t>
      </w:r>
      <w:r w:rsidRPr="00F21A14">
        <w:rPr>
          <w:u w:val="single"/>
        </w:rPr>
        <w:t>Assemble</w:t>
      </w:r>
      <w:r>
        <w:t xml:space="preserve">: </w:t>
      </w:r>
      <w:r w:rsidR="00FC6F20">
        <w:t xml:space="preserve">The custom (high optical quality) viewports </w:t>
      </w:r>
      <w:r w:rsidR="00865AAD">
        <w:t>require assembly. The commercial units (with windows brazed onto the flange) do not require assembly</w:t>
      </w:r>
      <w:r w:rsidR="00FC6F20">
        <w:t xml:space="preserve">. Once assembled, the entire surface of the fracture critical window elements cannot be inspected fully. </w:t>
      </w:r>
      <w:r w:rsidR="00865AAD">
        <w:t xml:space="preserve">However the assembly does protect the window element reasonably well, since it is sandwiched between </w:t>
      </w:r>
      <w:proofErr w:type="spellStart"/>
      <w:r w:rsidR="00865AAD">
        <w:lastRenderedPageBreak/>
        <w:t>o-ring</w:t>
      </w:r>
      <w:proofErr w:type="spellEnd"/>
      <w:r w:rsidR="00865AAD">
        <w:t xml:space="preserve"> elements and contact to the stainless steel flange parts is prevented by PEEK shims.</w:t>
      </w:r>
      <w:r w:rsidR="00BB3F15">
        <w:t xml:space="preserve"> Once the custom viewports have been assembled storage containers must be designed or procured (to prevent damage due to stacking for example). The manufacturer’s containers will not serve. Since assembly of the viewports does not require much effort or time, </w:t>
      </w:r>
      <w:r w:rsidR="00A14A58">
        <w:t>limits the capability for subsequent window inspection, and</w:t>
      </w:r>
      <w:r w:rsidR="00BB3F15">
        <w:t xml:space="preserve"> prevents use of the shipping containers provided by the manufacturer for the windows, there seems to be little benefit in performing this assembly prior to arrival at the third interferometer location.</w:t>
      </w:r>
    </w:p>
    <w:p w14:paraId="15EA6E63" w14:textId="3941AACF" w:rsidR="00DC2EAE" w:rsidRDefault="00F21A14" w:rsidP="00DC2EAE">
      <w:pPr>
        <w:pStyle w:val="StyleArial12ptJustified"/>
      </w:pPr>
      <w:r>
        <w:t xml:space="preserve">4) </w:t>
      </w:r>
      <w:r w:rsidRPr="00F21A14">
        <w:rPr>
          <w:u w:val="single"/>
        </w:rPr>
        <w:t>Test</w:t>
      </w:r>
      <w:r>
        <w:t xml:space="preserve">: </w:t>
      </w:r>
      <w:r w:rsidR="00254895">
        <w:t>Proof testing is required</w:t>
      </w:r>
      <w:r w:rsidR="00A14A58" w:rsidRPr="00A14A58">
        <w:rPr>
          <w:vertAlign w:val="superscript"/>
        </w:rPr>
        <w:fldChar w:fldCharType="begin"/>
      </w:r>
      <w:r w:rsidR="00A14A58" w:rsidRPr="00A14A58">
        <w:rPr>
          <w:vertAlign w:val="superscript"/>
        </w:rPr>
        <w:instrText xml:space="preserve"> NOTEREF _Ref380651060 \h </w:instrText>
      </w:r>
      <w:r w:rsidR="00A14A58">
        <w:rPr>
          <w:vertAlign w:val="superscript"/>
        </w:rPr>
        <w:instrText xml:space="preserve"> \* MERGEFORMAT </w:instrText>
      </w:r>
      <w:r w:rsidR="00A14A58" w:rsidRPr="00A14A58">
        <w:rPr>
          <w:vertAlign w:val="superscript"/>
        </w:rPr>
      </w:r>
      <w:r w:rsidR="00A14A58" w:rsidRPr="00A14A58">
        <w:rPr>
          <w:vertAlign w:val="superscript"/>
        </w:rPr>
        <w:fldChar w:fldCharType="separate"/>
      </w:r>
      <w:r w:rsidR="003C2248">
        <w:rPr>
          <w:vertAlign w:val="superscript"/>
        </w:rPr>
        <w:t>3</w:t>
      </w:r>
      <w:r w:rsidR="00A14A58" w:rsidRPr="00A14A58">
        <w:rPr>
          <w:vertAlign w:val="superscript"/>
        </w:rPr>
        <w:fldChar w:fldCharType="end"/>
      </w:r>
      <w:r w:rsidR="00254895">
        <w:t xml:space="preserve"> for all viewports, commercial or custom. </w:t>
      </w:r>
      <w:r w:rsidR="00A7037E">
        <w:t>However proof testing must be performed after all transportation and handling has been completed. As a consequence proof testing must be performed at the 3</w:t>
      </w:r>
      <w:r w:rsidR="00A7037E" w:rsidRPr="00A7037E">
        <w:rPr>
          <w:vertAlign w:val="superscript"/>
        </w:rPr>
        <w:t>rd</w:t>
      </w:r>
      <w:r w:rsidR="00A7037E">
        <w:t xml:space="preserve"> interferometer site. Furthermore it is detrimental to the life of the viewport to proof test repeatedly; Each application of the over-stress condition in a proof test </w:t>
      </w:r>
      <w:r w:rsidR="00D96643">
        <w:t>reduces the life of the window element. Consequently we should plan to perform the proof test only once, and so only at the third interferometer location.</w:t>
      </w:r>
    </w:p>
    <w:p w14:paraId="49C7A0F4" w14:textId="2ECA4802" w:rsidR="00A7037E" w:rsidRDefault="00A7037E" w:rsidP="00DC2EAE">
      <w:pPr>
        <w:pStyle w:val="StyleArial12ptJustified"/>
      </w:pPr>
      <w:r>
        <w:t>Leak testing is also required</w:t>
      </w:r>
      <w:r w:rsidR="009E6205" w:rsidRPr="009E6205">
        <w:rPr>
          <w:vertAlign w:val="superscript"/>
        </w:rPr>
        <w:fldChar w:fldCharType="begin"/>
      </w:r>
      <w:r w:rsidR="009E6205" w:rsidRPr="009E6205">
        <w:rPr>
          <w:vertAlign w:val="superscript"/>
        </w:rPr>
        <w:instrText xml:space="preserve"> NOTEREF _Ref380651060 \h </w:instrText>
      </w:r>
      <w:r w:rsidR="009E6205" w:rsidRPr="009E6205">
        <w:rPr>
          <w:vertAlign w:val="superscript"/>
        </w:rPr>
      </w:r>
      <w:r w:rsidR="009E6205">
        <w:rPr>
          <w:vertAlign w:val="superscript"/>
        </w:rPr>
        <w:instrText xml:space="preserve"> \* MERGEFORMAT </w:instrText>
      </w:r>
      <w:r w:rsidR="009E6205" w:rsidRPr="009E6205">
        <w:rPr>
          <w:vertAlign w:val="superscript"/>
        </w:rPr>
        <w:fldChar w:fldCharType="separate"/>
      </w:r>
      <w:r w:rsidR="003C2248">
        <w:rPr>
          <w:vertAlign w:val="superscript"/>
        </w:rPr>
        <w:t>3</w:t>
      </w:r>
      <w:r w:rsidR="009E6205" w:rsidRPr="009E6205">
        <w:rPr>
          <w:vertAlign w:val="superscript"/>
        </w:rPr>
        <w:fldChar w:fldCharType="end"/>
      </w:r>
      <w:r w:rsidRPr="00A7037E">
        <w:rPr>
          <w:vertAlign w:val="superscript"/>
        </w:rPr>
        <w:fldChar w:fldCharType="begin"/>
      </w:r>
      <w:r w:rsidRPr="00A7037E">
        <w:rPr>
          <w:vertAlign w:val="superscript"/>
        </w:rPr>
        <w:instrText xml:space="preserve"> NOTEREF _Ref380593605 \h </w:instrText>
      </w:r>
      <w:r>
        <w:rPr>
          <w:vertAlign w:val="superscript"/>
        </w:rPr>
        <w:instrText xml:space="preserve"> \* MERGEFORMAT </w:instrText>
      </w:r>
      <w:r w:rsidRPr="00A7037E">
        <w:rPr>
          <w:vertAlign w:val="superscript"/>
        </w:rPr>
        <w:fldChar w:fldCharType="separate"/>
      </w:r>
      <w:r w:rsidR="003C2248">
        <w:rPr>
          <w:b/>
          <w:bCs/>
          <w:vertAlign w:val="superscript"/>
        </w:rPr>
        <w:t>Error! Bookmark not defined.</w:t>
      </w:r>
      <w:r w:rsidRPr="00A7037E">
        <w:rPr>
          <w:vertAlign w:val="superscript"/>
        </w:rPr>
        <w:fldChar w:fldCharType="end"/>
      </w:r>
      <w:r>
        <w:t xml:space="preserve"> for all viewports, commercial or custom. Leak testing is performed with the same tooling/setup as the proof testing and so is best performed at the same time. Since no </w:t>
      </w:r>
      <w:proofErr w:type="spellStart"/>
      <w:r>
        <w:t>aLIGO</w:t>
      </w:r>
      <w:proofErr w:type="spellEnd"/>
      <w:r>
        <w:t xml:space="preserve"> viewport has failed the leak test, and the third interferometer viewport components were manufactured or purchased in the same lots, there is very little risk that any of the third interferometer </w:t>
      </w:r>
      <w:r w:rsidR="009E6205">
        <w:t xml:space="preserve">custom </w:t>
      </w:r>
      <w:r>
        <w:t>viewports will fail to seal.</w:t>
      </w:r>
      <w:r w:rsidR="00D96643">
        <w:t xml:space="preserve"> </w:t>
      </w:r>
      <w:r w:rsidR="009E6205">
        <w:t>Furthermore the manufacturer of the commercial viewport units will have already performed a leak test. The LIGO performed test is a verification. As a consequence there is little risk that the commercial viewport units will be found to leak.</w:t>
      </w:r>
    </w:p>
    <w:p w14:paraId="508C66C7" w14:textId="77777777" w:rsidR="00D96643" w:rsidRDefault="00D96643" w:rsidP="00DC2EAE">
      <w:pPr>
        <w:pStyle w:val="StyleArial12ptJustified"/>
      </w:pPr>
    </w:p>
    <w:sectPr w:rsidR="00D96643">
      <w:headerReference w:type="default" r:id="rId8"/>
      <w:footerReference w:type="default" r:id="rId9"/>
      <w:headerReference w:type="first" r:id="rId10"/>
      <w:footerReference w:type="first" r:id="rId11"/>
      <w:pgSz w:w="12240" w:h="15840" w:code="1"/>
      <w:pgMar w:top="1267" w:right="1152" w:bottom="1440" w:left="115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3CAE7" w14:textId="77777777" w:rsidR="004108C8" w:rsidRDefault="004108C8">
      <w:r>
        <w:separator/>
      </w:r>
    </w:p>
  </w:endnote>
  <w:endnote w:type="continuationSeparator" w:id="0">
    <w:p w14:paraId="42C41AA1" w14:textId="77777777" w:rsidR="004108C8" w:rsidRDefault="0041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40E6" w14:textId="77777777" w:rsidR="00460D14" w:rsidRDefault="00460D14">
    <w:pPr>
      <w:pStyle w:val="Footer"/>
      <w:tabs>
        <w:tab w:val="clear" w:pos="4320"/>
        <w:tab w:val="clear" w:pos="8640"/>
        <w:tab w:val="left" w:pos="3060"/>
        <w:tab w:val="left" w:pos="7830"/>
      </w:tabs>
    </w:pPr>
    <w:r>
      <w:rPr>
        <w:rFonts w:ascii="Arial" w:hAnsi="Arial" w:cs="Arial"/>
        <w:i/>
        <w:iCs/>
        <w:sz w:val="14"/>
      </w:rPr>
      <w:t>Form F0900005-v1</w:t>
    </w:r>
    <w:r>
      <w:rPr>
        <w:rFonts w:ascii="Arial" w:hAnsi="Arial" w:cs="Arial"/>
        <w:i/>
        <w:iCs/>
        <w:sz w:val="14"/>
      </w:rPr>
      <w:tab/>
      <w:t>LIGO LABORATORY</w:t>
    </w:r>
    <w:r>
      <w:rPr>
        <w:rFonts w:ascii="Arial" w:hAnsi="Arial" w:cs="Arial"/>
        <w:i/>
        <w:iCs/>
        <w:sz w:val="14"/>
      </w:rPr>
      <w:tab/>
    </w:r>
    <w:r>
      <w:rPr>
        <w:rFonts w:ascii="Arial" w:hAnsi="Arial" w:cs="Arial"/>
        <w:snapToGrid w:val="0"/>
        <w:sz w:val="14"/>
      </w:rPr>
      <w:t xml:space="preserve">Page </w:t>
    </w:r>
    <w:r>
      <w:rPr>
        <w:rFonts w:ascii="Arial" w:hAnsi="Arial" w:cs="Arial"/>
        <w:snapToGrid w:val="0"/>
        <w:sz w:val="14"/>
      </w:rPr>
      <w:fldChar w:fldCharType="begin"/>
    </w:r>
    <w:r>
      <w:rPr>
        <w:rFonts w:ascii="Arial" w:hAnsi="Arial" w:cs="Arial"/>
        <w:snapToGrid w:val="0"/>
        <w:sz w:val="14"/>
      </w:rPr>
      <w:instrText xml:space="preserve"> PAGE </w:instrText>
    </w:r>
    <w:r>
      <w:rPr>
        <w:rFonts w:ascii="Arial" w:hAnsi="Arial" w:cs="Arial"/>
        <w:snapToGrid w:val="0"/>
        <w:sz w:val="14"/>
      </w:rPr>
      <w:fldChar w:fldCharType="separate"/>
    </w:r>
    <w:r w:rsidR="003C2248">
      <w:rPr>
        <w:rFonts w:ascii="Arial" w:hAnsi="Arial" w:cs="Arial"/>
        <w:noProof/>
        <w:snapToGrid w:val="0"/>
        <w:sz w:val="14"/>
      </w:rPr>
      <w:t>3</w:t>
    </w:r>
    <w:r>
      <w:rPr>
        <w:rFonts w:ascii="Arial" w:hAnsi="Arial" w:cs="Arial"/>
        <w:snapToGrid w:val="0"/>
        <w:sz w:val="14"/>
      </w:rPr>
      <w:fldChar w:fldCharType="end"/>
    </w:r>
    <w:r>
      <w:rPr>
        <w:rFonts w:ascii="Arial" w:hAnsi="Arial" w:cs="Arial"/>
        <w:snapToGrid w:val="0"/>
        <w:sz w:val="14"/>
      </w:rPr>
      <w:t xml:space="preserve"> of </w:t>
    </w:r>
    <w:r>
      <w:rPr>
        <w:rFonts w:ascii="Arial" w:hAnsi="Arial" w:cs="Arial"/>
        <w:snapToGrid w:val="0"/>
        <w:sz w:val="14"/>
      </w:rPr>
      <w:fldChar w:fldCharType="begin"/>
    </w:r>
    <w:r>
      <w:rPr>
        <w:rFonts w:ascii="Arial" w:hAnsi="Arial" w:cs="Arial"/>
        <w:snapToGrid w:val="0"/>
        <w:sz w:val="14"/>
      </w:rPr>
      <w:instrText xml:space="preserve"> NUMPAGES </w:instrText>
    </w:r>
    <w:r>
      <w:rPr>
        <w:rFonts w:ascii="Arial" w:hAnsi="Arial" w:cs="Arial"/>
        <w:snapToGrid w:val="0"/>
        <w:sz w:val="14"/>
      </w:rPr>
      <w:fldChar w:fldCharType="separate"/>
    </w:r>
    <w:r w:rsidR="003C2248">
      <w:rPr>
        <w:rFonts w:ascii="Arial" w:hAnsi="Arial" w:cs="Arial"/>
        <w:noProof/>
        <w:snapToGrid w:val="0"/>
        <w:sz w:val="14"/>
      </w:rPr>
      <w:t>3</w:t>
    </w:r>
    <w:r>
      <w:rPr>
        <w:rFonts w:ascii="Arial" w:hAnsi="Arial" w:cs="Arial"/>
        <w:snapToGrid w:val="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DF84" w14:textId="77777777" w:rsidR="00460D14" w:rsidRDefault="00460D14" w:rsidP="00DA5E63">
    <w:pPr>
      <w:pStyle w:val="Footer"/>
      <w:tabs>
        <w:tab w:val="clear" w:pos="4320"/>
        <w:tab w:val="clear" w:pos="8640"/>
        <w:tab w:val="left" w:pos="4140"/>
        <w:tab w:val="right" w:pos="9900"/>
      </w:tabs>
    </w:pPr>
    <w:r>
      <w:rPr>
        <w:rFonts w:ascii="Arial" w:hAnsi="Arial" w:cs="Arial"/>
        <w:i/>
        <w:iCs/>
        <w:sz w:val="14"/>
      </w:rPr>
      <w:t>Form F1300014-v1</w:t>
    </w:r>
    <w:r>
      <w:rPr>
        <w:rFonts w:ascii="Arial" w:hAnsi="Arial" w:cs="Arial"/>
        <w:i/>
        <w:iCs/>
        <w:sz w:val="14"/>
      </w:rPr>
      <w:tab/>
      <w:t>LIGO LABORATORY</w:t>
    </w:r>
    <w:r>
      <w:rPr>
        <w:rFonts w:ascii="Arial" w:hAnsi="Arial" w:cs="Arial"/>
        <w:i/>
        <w:iCs/>
        <w:sz w:val="14"/>
      </w:rPr>
      <w:tab/>
    </w:r>
    <w:r>
      <w:rPr>
        <w:rFonts w:ascii="Arial" w:hAnsi="Arial" w:cs="Arial"/>
        <w:snapToGrid w:val="0"/>
        <w:sz w:val="14"/>
      </w:rPr>
      <w:t xml:space="preserve">Page </w:t>
    </w:r>
    <w:r>
      <w:rPr>
        <w:rFonts w:ascii="Arial" w:hAnsi="Arial" w:cs="Arial"/>
        <w:snapToGrid w:val="0"/>
        <w:sz w:val="14"/>
      </w:rPr>
      <w:fldChar w:fldCharType="begin"/>
    </w:r>
    <w:r>
      <w:rPr>
        <w:rFonts w:ascii="Arial" w:hAnsi="Arial" w:cs="Arial"/>
        <w:snapToGrid w:val="0"/>
        <w:sz w:val="14"/>
      </w:rPr>
      <w:instrText xml:space="preserve"> PAGE </w:instrText>
    </w:r>
    <w:r>
      <w:rPr>
        <w:rFonts w:ascii="Arial" w:hAnsi="Arial" w:cs="Arial"/>
        <w:snapToGrid w:val="0"/>
        <w:sz w:val="14"/>
      </w:rPr>
      <w:fldChar w:fldCharType="separate"/>
    </w:r>
    <w:r w:rsidR="003C2248">
      <w:rPr>
        <w:rFonts w:ascii="Arial" w:hAnsi="Arial" w:cs="Arial"/>
        <w:noProof/>
        <w:snapToGrid w:val="0"/>
        <w:sz w:val="14"/>
      </w:rPr>
      <w:t>1</w:t>
    </w:r>
    <w:r>
      <w:rPr>
        <w:rFonts w:ascii="Arial" w:hAnsi="Arial" w:cs="Arial"/>
        <w:snapToGrid w:val="0"/>
        <w:sz w:val="14"/>
      </w:rPr>
      <w:fldChar w:fldCharType="end"/>
    </w:r>
    <w:r>
      <w:rPr>
        <w:rFonts w:ascii="Arial" w:hAnsi="Arial" w:cs="Arial"/>
        <w:snapToGrid w:val="0"/>
        <w:sz w:val="14"/>
      </w:rPr>
      <w:t xml:space="preserve"> of </w:t>
    </w:r>
    <w:r>
      <w:rPr>
        <w:rFonts w:ascii="Arial" w:hAnsi="Arial" w:cs="Arial"/>
        <w:snapToGrid w:val="0"/>
        <w:sz w:val="14"/>
      </w:rPr>
      <w:fldChar w:fldCharType="begin"/>
    </w:r>
    <w:r>
      <w:rPr>
        <w:rFonts w:ascii="Arial" w:hAnsi="Arial" w:cs="Arial"/>
        <w:snapToGrid w:val="0"/>
        <w:sz w:val="14"/>
      </w:rPr>
      <w:instrText xml:space="preserve"> NUMPAGES </w:instrText>
    </w:r>
    <w:r>
      <w:rPr>
        <w:rFonts w:ascii="Arial" w:hAnsi="Arial" w:cs="Arial"/>
        <w:snapToGrid w:val="0"/>
        <w:sz w:val="14"/>
      </w:rPr>
      <w:fldChar w:fldCharType="separate"/>
    </w:r>
    <w:r w:rsidR="003C2248">
      <w:rPr>
        <w:rFonts w:ascii="Arial" w:hAnsi="Arial" w:cs="Arial"/>
        <w:noProof/>
        <w:snapToGrid w:val="0"/>
        <w:sz w:val="14"/>
      </w:rPr>
      <w:t>3</w:t>
    </w:r>
    <w:r>
      <w:rPr>
        <w:rFonts w:ascii="Arial" w:hAnsi="Arial" w:cs="Arial"/>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7B0CA" w14:textId="77777777" w:rsidR="004108C8" w:rsidRDefault="004108C8">
      <w:r>
        <w:separator/>
      </w:r>
    </w:p>
  </w:footnote>
  <w:footnote w:type="continuationSeparator" w:id="0">
    <w:p w14:paraId="7D7E6590" w14:textId="77777777" w:rsidR="004108C8" w:rsidRDefault="004108C8">
      <w:r>
        <w:continuationSeparator/>
      </w:r>
    </w:p>
  </w:footnote>
  <w:footnote w:id="1">
    <w:p w14:paraId="2450673B" w14:textId="74DFBB1C" w:rsidR="006D6043" w:rsidRDefault="006D6043">
      <w:pPr>
        <w:pStyle w:val="FootnoteText"/>
      </w:pPr>
      <w:r>
        <w:rPr>
          <w:rStyle w:val="FootnoteReference"/>
        </w:rPr>
        <w:footnoteRef/>
      </w:r>
      <w:r>
        <w:t xml:space="preserve"> </w:t>
      </w:r>
      <w:hyperlink r:id="rId1" w:history="1">
        <w:r w:rsidRPr="006D6043">
          <w:rPr>
            <w:rStyle w:val="Hyperlink"/>
          </w:rPr>
          <w:t>E1300001</w:t>
        </w:r>
      </w:hyperlink>
      <w:r>
        <w:t>-v11, “</w:t>
      </w:r>
      <w:r w:rsidRPr="006D6043">
        <w:t>Long Term Storage Plan for the Components of the Third Advanced LIGO Interferometer</w:t>
      </w:r>
      <w:r>
        <w:t>”</w:t>
      </w:r>
    </w:p>
  </w:footnote>
  <w:footnote w:id="2">
    <w:p w14:paraId="46F0FBD6" w14:textId="3ED68F42" w:rsidR="006D6043" w:rsidRDefault="006D6043">
      <w:pPr>
        <w:pStyle w:val="FootnoteText"/>
      </w:pPr>
      <w:r>
        <w:rPr>
          <w:rStyle w:val="FootnoteReference"/>
        </w:rPr>
        <w:footnoteRef/>
      </w:r>
      <w:r>
        <w:t xml:space="preserve"> </w:t>
      </w:r>
      <w:hyperlink r:id="rId2" w:history="1">
        <w:r w:rsidRPr="006D6043">
          <w:rPr>
            <w:rStyle w:val="Hyperlink"/>
          </w:rPr>
          <w:t>T1300006</w:t>
        </w:r>
      </w:hyperlink>
      <w:r>
        <w:t>-v3, “</w:t>
      </w:r>
      <w:r w:rsidRPr="006D6043">
        <w:t xml:space="preserve">Stray Light Control (SLC) Long Term Storage for the 3rd </w:t>
      </w:r>
      <w:proofErr w:type="spellStart"/>
      <w:r w:rsidRPr="006D6043">
        <w:t>aLIGO</w:t>
      </w:r>
      <w:proofErr w:type="spellEnd"/>
      <w:r w:rsidRPr="006D6043">
        <w:t xml:space="preserve"> Interferometer</w:t>
      </w:r>
      <w:r>
        <w:t>”</w:t>
      </w:r>
    </w:p>
  </w:footnote>
  <w:footnote w:id="3">
    <w:p w14:paraId="39D6F4C4" w14:textId="77777777" w:rsidR="007364D0" w:rsidRDefault="007364D0" w:rsidP="007364D0">
      <w:pPr>
        <w:pStyle w:val="FootnoteText"/>
      </w:pPr>
      <w:r>
        <w:rPr>
          <w:rStyle w:val="FootnoteReference"/>
        </w:rPr>
        <w:footnoteRef/>
      </w:r>
      <w:r>
        <w:t xml:space="preserve"> </w:t>
      </w:r>
      <w:hyperlink r:id="rId3" w:history="1">
        <w:r w:rsidRPr="00A7037E">
          <w:rPr>
            <w:rStyle w:val="Hyperlink"/>
          </w:rPr>
          <w:t>E1100948</w:t>
        </w:r>
      </w:hyperlink>
      <w:r w:rsidRPr="00A7037E">
        <w:t>-v6</w:t>
      </w:r>
      <w:r>
        <w:t>, “</w:t>
      </w:r>
      <w:r w:rsidRPr="00A7037E">
        <w:t>Specification: Viewport Inspection and Testing Procedure</w:t>
      </w:r>
      <w:r>
        <w:t>”</w:t>
      </w:r>
    </w:p>
  </w:footnote>
  <w:footnote w:id="4">
    <w:p w14:paraId="62EB5B9A" w14:textId="2BCA0368" w:rsidR="00FD7D01" w:rsidRDefault="00FD7D01">
      <w:pPr>
        <w:pStyle w:val="FootnoteText"/>
      </w:pPr>
      <w:r>
        <w:rPr>
          <w:rStyle w:val="FootnoteReference"/>
        </w:rPr>
        <w:footnoteRef/>
      </w:r>
      <w:r>
        <w:t xml:space="preserve"> </w:t>
      </w:r>
      <w:hyperlink r:id="rId4" w:history="1">
        <w:r w:rsidRPr="00FD7D01">
          <w:rPr>
            <w:rStyle w:val="Hyperlink"/>
          </w:rPr>
          <w:t>E0900047</w:t>
        </w:r>
      </w:hyperlink>
      <w:r>
        <w:t>, “</w:t>
      </w:r>
      <w:r w:rsidRPr="00FD7D01">
        <w:t>LIGO Contamination Control Plan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EA90" w14:textId="2D0AFE68" w:rsidR="00460D14" w:rsidRPr="003B35EF" w:rsidRDefault="007364D0" w:rsidP="003B35EF">
    <w:pPr>
      <w:pStyle w:val="Header"/>
      <w:tabs>
        <w:tab w:val="clear" w:pos="4320"/>
        <w:tab w:val="clear" w:pos="8640"/>
        <w:tab w:val="left" w:pos="2880"/>
        <w:tab w:val="right" w:pos="9900"/>
      </w:tabs>
      <w:rPr>
        <w:u w:val="single"/>
      </w:rPr>
    </w:pPr>
    <w:r>
      <w:rPr>
        <w:u w:val="single"/>
      </w:rPr>
      <w:t>E</w:t>
    </w:r>
    <w:r w:rsidR="00344DCC">
      <w:rPr>
        <w:u w:val="single"/>
      </w:rPr>
      <w:t>14000</w:t>
    </w:r>
    <w:r w:rsidR="009E6205">
      <w:rPr>
        <w:u w:val="single"/>
      </w:rPr>
      <w:t>73-v3</w:t>
    </w:r>
    <w:r w:rsidR="00460D14" w:rsidRPr="003B35EF">
      <w:rPr>
        <w:u w:val="single"/>
      </w:rPr>
      <w:t xml:space="preserve">: </w:t>
    </w:r>
    <w:r w:rsidRPr="007364D0">
      <w:rPr>
        <w:u w:val="single"/>
      </w:rPr>
      <w:t xml:space="preserve">Guidance for </w:t>
    </w:r>
    <w:proofErr w:type="spellStart"/>
    <w:r w:rsidRPr="007364D0">
      <w:rPr>
        <w:u w:val="single"/>
      </w:rPr>
      <w:t>aLIGO</w:t>
    </w:r>
    <w:proofErr w:type="spellEnd"/>
    <w:r w:rsidRPr="007364D0">
      <w:rPr>
        <w:u w:val="single"/>
      </w:rPr>
      <w:t xml:space="preserve"> Third Interferometer Viewports</w:t>
    </w:r>
    <w:r w:rsidR="00460D14" w:rsidRPr="003B35EF">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tblLayout w:type="fixed"/>
      <w:tblCellMar>
        <w:top w:w="40" w:type="dxa"/>
      </w:tblCellMar>
      <w:tblLook w:val="0000" w:firstRow="0" w:lastRow="0" w:firstColumn="0" w:lastColumn="0" w:noHBand="0" w:noVBand="0"/>
    </w:tblPr>
    <w:tblGrid>
      <w:gridCol w:w="3798"/>
      <w:gridCol w:w="7110"/>
    </w:tblGrid>
    <w:tr w:rsidR="00460D14" w:rsidRPr="006C6448" w14:paraId="359EDD48" w14:textId="77777777" w:rsidTr="00873E40">
      <w:trPr>
        <w:trHeight w:val="1400"/>
      </w:trPr>
      <w:tc>
        <w:tcPr>
          <w:tcW w:w="3798" w:type="dxa"/>
        </w:tcPr>
        <w:p w14:paraId="794A4720" w14:textId="77777777" w:rsidR="00460D14" w:rsidRPr="004947A7" w:rsidRDefault="004108C8" w:rsidP="00F94405">
          <w:pPr>
            <w:pStyle w:val="BodyText2"/>
            <w:jc w:val="left"/>
            <w:rPr>
              <w:sz w:val="36"/>
              <w:szCs w:val="36"/>
            </w:rPr>
          </w:pPr>
          <w:r>
            <w:rPr>
              <w:noProof/>
            </w:rPr>
            <w:object w:dxaOrig="1440" w:dyaOrig="1440" w14:anchorId="13D42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95pt;margin-top:0;width:93.6pt;height:68.35pt;z-index:-251658752" wrapcoords="-173 0 -173 21363 21600 21363 21600 0 -173 0" fillcolor="#d49fff" strokecolor="#114ffb" strokeweight="1pt">
                <v:stroke startarrowwidth="narrow" startarrowlength="short" endarrowwidth="narrow" endarrowlength="short"/>
                <v:imagedata r:id="rId1" o:title=""/>
                <v:shadow color="#cecece"/>
                <w10:wrap type="through"/>
              </v:shape>
              <o:OLEObject Type="Embed" ProgID="MSPhotoEd.3" ShapeID="_x0000_s2053" DrawAspect="Content" ObjectID="_1454396823" r:id="rId2"/>
            </w:object>
          </w:r>
        </w:p>
      </w:tc>
      <w:tc>
        <w:tcPr>
          <w:tcW w:w="7110" w:type="dxa"/>
        </w:tcPr>
        <w:p w14:paraId="31977E1A" w14:textId="77777777" w:rsidR="00460D14" w:rsidRDefault="00460D14" w:rsidP="00F94405">
          <w:pPr>
            <w:pStyle w:val="Header"/>
            <w:rPr>
              <w:rFonts w:ascii="Arial" w:hAnsi="Arial" w:cs="Arial"/>
              <w:b/>
              <w:sz w:val="36"/>
              <w:szCs w:val="36"/>
            </w:rPr>
          </w:pPr>
        </w:p>
        <w:p w14:paraId="1BCD7F71" w14:textId="77777777" w:rsidR="00460D14" w:rsidRPr="00F837C9" w:rsidRDefault="00460D14" w:rsidP="00F94405">
          <w:pPr>
            <w:pStyle w:val="Header"/>
            <w:rPr>
              <w:rFonts w:ascii="Arial" w:hAnsi="Arial" w:cs="Arial"/>
              <w:b/>
              <w:sz w:val="48"/>
              <w:szCs w:val="48"/>
            </w:rPr>
          </w:pPr>
          <w:r w:rsidRPr="00136E37">
            <w:rPr>
              <w:rFonts w:ascii="Arial" w:hAnsi="Arial" w:cs="Arial"/>
              <w:b/>
              <w:sz w:val="48"/>
              <w:szCs w:val="48"/>
            </w:rPr>
            <w:t>LIGO Laboratory</w:t>
          </w:r>
        </w:p>
      </w:tc>
    </w:tr>
  </w:tbl>
  <w:p w14:paraId="2A9BD4B8" w14:textId="77777777" w:rsidR="00460D14" w:rsidRDefault="00460D14">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BCFD48"/>
    <w:lvl w:ilvl="0">
      <w:start w:val="1"/>
      <w:numFmt w:val="decimal"/>
      <w:lvlText w:val="%1."/>
      <w:lvlJc w:val="left"/>
      <w:pPr>
        <w:tabs>
          <w:tab w:val="num" w:pos="1800"/>
        </w:tabs>
        <w:ind w:left="1800" w:hanging="360"/>
      </w:pPr>
    </w:lvl>
  </w:abstractNum>
  <w:abstractNum w:abstractNumId="1">
    <w:nsid w:val="FFFFFF7D"/>
    <w:multiLevelType w:val="singleLevel"/>
    <w:tmpl w:val="5F9EB3C6"/>
    <w:lvl w:ilvl="0">
      <w:start w:val="1"/>
      <w:numFmt w:val="decimal"/>
      <w:lvlText w:val="%1."/>
      <w:lvlJc w:val="left"/>
      <w:pPr>
        <w:tabs>
          <w:tab w:val="num" w:pos="1440"/>
        </w:tabs>
        <w:ind w:left="1440" w:hanging="360"/>
      </w:pPr>
    </w:lvl>
  </w:abstractNum>
  <w:abstractNum w:abstractNumId="2">
    <w:nsid w:val="FFFFFF7E"/>
    <w:multiLevelType w:val="singleLevel"/>
    <w:tmpl w:val="B29A48EA"/>
    <w:lvl w:ilvl="0">
      <w:start w:val="1"/>
      <w:numFmt w:val="decimal"/>
      <w:lvlText w:val="%1."/>
      <w:lvlJc w:val="left"/>
      <w:pPr>
        <w:tabs>
          <w:tab w:val="num" w:pos="1080"/>
        </w:tabs>
        <w:ind w:left="1080" w:hanging="360"/>
      </w:pPr>
    </w:lvl>
  </w:abstractNum>
  <w:abstractNum w:abstractNumId="3">
    <w:nsid w:val="FFFFFF7F"/>
    <w:multiLevelType w:val="singleLevel"/>
    <w:tmpl w:val="2040A75C"/>
    <w:lvl w:ilvl="0">
      <w:start w:val="1"/>
      <w:numFmt w:val="decimal"/>
      <w:lvlText w:val="%1."/>
      <w:lvlJc w:val="left"/>
      <w:pPr>
        <w:tabs>
          <w:tab w:val="num" w:pos="720"/>
        </w:tabs>
        <w:ind w:left="720" w:hanging="360"/>
      </w:pPr>
    </w:lvl>
  </w:abstractNum>
  <w:abstractNum w:abstractNumId="4">
    <w:nsid w:val="FFFFFF80"/>
    <w:multiLevelType w:val="singleLevel"/>
    <w:tmpl w:val="DA3A91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AC46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9E5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7CE1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EDD2C"/>
    <w:lvl w:ilvl="0">
      <w:start w:val="1"/>
      <w:numFmt w:val="decimal"/>
      <w:lvlText w:val="%1."/>
      <w:lvlJc w:val="left"/>
      <w:pPr>
        <w:tabs>
          <w:tab w:val="num" w:pos="360"/>
        </w:tabs>
        <w:ind w:left="360" w:hanging="360"/>
      </w:pPr>
    </w:lvl>
  </w:abstractNum>
  <w:abstractNum w:abstractNumId="9">
    <w:nsid w:val="FFFFFF89"/>
    <w:multiLevelType w:val="singleLevel"/>
    <w:tmpl w:val="41E09830"/>
    <w:lvl w:ilvl="0">
      <w:start w:val="1"/>
      <w:numFmt w:val="bullet"/>
      <w:lvlText w:val=""/>
      <w:lvlJc w:val="left"/>
      <w:pPr>
        <w:tabs>
          <w:tab w:val="num" w:pos="360"/>
        </w:tabs>
        <w:ind w:left="360" w:hanging="360"/>
      </w:pPr>
      <w:rPr>
        <w:rFonts w:ascii="Symbol" w:hAnsi="Symbol" w:hint="default"/>
      </w:rPr>
    </w:lvl>
  </w:abstractNum>
  <w:abstractNum w:abstractNumId="10">
    <w:nsid w:val="04130696"/>
    <w:multiLevelType w:val="hybridMultilevel"/>
    <w:tmpl w:val="CF0C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F7077"/>
    <w:multiLevelType w:val="hybridMultilevel"/>
    <w:tmpl w:val="A142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2063A"/>
    <w:multiLevelType w:val="hybridMultilevel"/>
    <w:tmpl w:val="B5D05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D3A77"/>
    <w:multiLevelType w:val="hybridMultilevel"/>
    <w:tmpl w:val="2DBC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41AC8"/>
    <w:multiLevelType w:val="multilevel"/>
    <w:tmpl w:val="8130A5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97349A0"/>
    <w:multiLevelType w:val="hybridMultilevel"/>
    <w:tmpl w:val="727C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C6B92"/>
    <w:multiLevelType w:val="hybridMultilevel"/>
    <w:tmpl w:val="41B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B4BC4"/>
    <w:multiLevelType w:val="hybridMultilevel"/>
    <w:tmpl w:val="80CA4216"/>
    <w:lvl w:ilvl="0" w:tplc="ADAADE18">
      <w:start w:val="1"/>
      <w:numFmt w:val="decimal"/>
      <w:pStyle w:val="numbered-1"/>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B5058"/>
    <w:multiLevelType w:val="hybridMultilevel"/>
    <w:tmpl w:val="F09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A2938"/>
    <w:multiLevelType w:val="hybridMultilevel"/>
    <w:tmpl w:val="12E0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05DA9"/>
    <w:multiLevelType w:val="hybridMultilevel"/>
    <w:tmpl w:val="C2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E7E9C"/>
    <w:multiLevelType w:val="hybridMultilevel"/>
    <w:tmpl w:val="12BC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C4020"/>
    <w:multiLevelType w:val="hybridMultilevel"/>
    <w:tmpl w:val="1D883AC8"/>
    <w:lvl w:ilvl="0" w:tplc="56765AC4">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11"/>
  </w:num>
  <w:num w:numId="5">
    <w:abstractNumId w:val="18"/>
  </w:num>
  <w:num w:numId="6">
    <w:abstractNumId w:val="22"/>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9"/>
  </w:num>
  <w:num w:numId="21">
    <w:abstractNumId w:val="10"/>
  </w:num>
  <w:num w:numId="22">
    <w:abstractNumId w:val="13"/>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4"/>
    <w:rsid w:val="00000A46"/>
    <w:rsid w:val="00005D08"/>
    <w:rsid w:val="0001291F"/>
    <w:rsid w:val="000211B0"/>
    <w:rsid w:val="000218FA"/>
    <w:rsid w:val="00021E8E"/>
    <w:rsid w:val="00053FF5"/>
    <w:rsid w:val="00067C12"/>
    <w:rsid w:val="00074A39"/>
    <w:rsid w:val="00081348"/>
    <w:rsid w:val="00097595"/>
    <w:rsid w:val="000A04E6"/>
    <w:rsid w:val="000A52C0"/>
    <w:rsid w:val="000A5D24"/>
    <w:rsid w:val="000A5E78"/>
    <w:rsid w:val="000C7133"/>
    <w:rsid w:val="000C732F"/>
    <w:rsid w:val="000D0AC1"/>
    <w:rsid w:val="000D2D80"/>
    <w:rsid w:val="000D3441"/>
    <w:rsid w:val="000D4797"/>
    <w:rsid w:val="000E747E"/>
    <w:rsid w:val="0010147C"/>
    <w:rsid w:val="001021D4"/>
    <w:rsid w:val="001072DD"/>
    <w:rsid w:val="00123915"/>
    <w:rsid w:val="001316B6"/>
    <w:rsid w:val="001332A3"/>
    <w:rsid w:val="00135174"/>
    <w:rsid w:val="001352A4"/>
    <w:rsid w:val="00153417"/>
    <w:rsid w:val="00157172"/>
    <w:rsid w:val="00167ACE"/>
    <w:rsid w:val="001713E5"/>
    <w:rsid w:val="0017703D"/>
    <w:rsid w:val="00181600"/>
    <w:rsid w:val="00190B61"/>
    <w:rsid w:val="001954BC"/>
    <w:rsid w:val="00196D20"/>
    <w:rsid w:val="001A2564"/>
    <w:rsid w:val="001A4F75"/>
    <w:rsid w:val="001B4D95"/>
    <w:rsid w:val="001B4F01"/>
    <w:rsid w:val="001B6561"/>
    <w:rsid w:val="001D0D12"/>
    <w:rsid w:val="001D6D02"/>
    <w:rsid w:val="001E34FB"/>
    <w:rsid w:val="001F00DA"/>
    <w:rsid w:val="001F3AE2"/>
    <w:rsid w:val="00204416"/>
    <w:rsid w:val="00204FD1"/>
    <w:rsid w:val="002115E4"/>
    <w:rsid w:val="0022347C"/>
    <w:rsid w:val="002244B9"/>
    <w:rsid w:val="0023166D"/>
    <w:rsid w:val="002378E1"/>
    <w:rsid w:val="00254895"/>
    <w:rsid w:val="00261E25"/>
    <w:rsid w:val="00263E8A"/>
    <w:rsid w:val="00271347"/>
    <w:rsid w:val="002732B7"/>
    <w:rsid w:val="0027619D"/>
    <w:rsid w:val="00276499"/>
    <w:rsid w:val="00282443"/>
    <w:rsid w:val="00284242"/>
    <w:rsid w:val="002877BB"/>
    <w:rsid w:val="0029414A"/>
    <w:rsid w:val="002A091F"/>
    <w:rsid w:val="002A27A7"/>
    <w:rsid w:val="002A2844"/>
    <w:rsid w:val="002A2F00"/>
    <w:rsid w:val="002B2D48"/>
    <w:rsid w:val="002B7E1E"/>
    <w:rsid w:val="002D542F"/>
    <w:rsid w:val="002D5F49"/>
    <w:rsid w:val="002E02BA"/>
    <w:rsid w:val="002E5A89"/>
    <w:rsid w:val="002F4D19"/>
    <w:rsid w:val="002F5532"/>
    <w:rsid w:val="0030748D"/>
    <w:rsid w:val="003133EA"/>
    <w:rsid w:val="003303FA"/>
    <w:rsid w:val="0033233F"/>
    <w:rsid w:val="00337CD6"/>
    <w:rsid w:val="00344DCC"/>
    <w:rsid w:val="003519C6"/>
    <w:rsid w:val="003560C0"/>
    <w:rsid w:val="00390D38"/>
    <w:rsid w:val="0039431D"/>
    <w:rsid w:val="003943B3"/>
    <w:rsid w:val="00394743"/>
    <w:rsid w:val="0039609F"/>
    <w:rsid w:val="003A6EEE"/>
    <w:rsid w:val="003B35EF"/>
    <w:rsid w:val="003C2248"/>
    <w:rsid w:val="003C6CE8"/>
    <w:rsid w:val="003E4170"/>
    <w:rsid w:val="003E6501"/>
    <w:rsid w:val="003F4AF4"/>
    <w:rsid w:val="00402B2D"/>
    <w:rsid w:val="0040640C"/>
    <w:rsid w:val="00406F6B"/>
    <w:rsid w:val="004108C8"/>
    <w:rsid w:val="00414F9C"/>
    <w:rsid w:val="00415A50"/>
    <w:rsid w:val="00415B04"/>
    <w:rsid w:val="0042051B"/>
    <w:rsid w:val="00421A42"/>
    <w:rsid w:val="00421FD0"/>
    <w:rsid w:val="00424621"/>
    <w:rsid w:val="0043199D"/>
    <w:rsid w:val="004340DC"/>
    <w:rsid w:val="00442276"/>
    <w:rsid w:val="00442ADA"/>
    <w:rsid w:val="0045674F"/>
    <w:rsid w:val="00460D14"/>
    <w:rsid w:val="00481A18"/>
    <w:rsid w:val="00486CC8"/>
    <w:rsid w:val="00486F47"/>
    <w:rsid w:val="004927F9"/>
    <w:rsid w:val="004A105B"/>
    <w:rsid w:val="004A27E5"/>
    <w:rsid w:val="004A5F18"/>
    <w:rsid w:val="004A7054"/>
    <w:rsid w:val="004B030A"/>
    <w:rsid w:val="004B091F"/>
    <w:rsid w:val="004B2953"/>
    <w:rsid w:val="004C0180"/>
    <w:rsid w:val="004C1BF8"/>
    <w:rsid w:val="004D6E5E"/>
    <w:rsid w:val="004E3EA9"/>
    <w:rsid w:val="005035BB"/>
    <w:rsid w:val="00507916"/>
    <w:rsid w:val="00516414"/>
    <w:rsid w:val="00517849"/>
    <w:rsid w:val="005246D8"/>
    <w:rsid w:val="005372D9"/>
    <w:rsid w:val="0054637C"/>
    <w:rsid w:val="00566448"/>
    <w:rsid w:val="005722FE"/>
    <w:rsid w:val="00575D0C"/>
    <w:rsid w:val="00584482"/>
    <w:rsid w:val="005951AD"/>
    <w:rsid w:val="005A55DF"/>
    <w:rsid w:val="005B1A24"/>
    <w:rsid w:val="005B267E"/>
    <w:rsid w:val="005B2804"/>
    <w:rsid w:val="005C51D8"/>
    <w:rsid w:val="005D09A1"/>
    <w:rsid w:val="005D48F4"/>
    <w:rsid w:val="005E0252"/>
    <w:rsid w:val="005F29F1"/>
    <w:rsid w:val="005F3894"/>
    <w:rsid w:val="006005C2"/>
    <w:rsid w:val="006178BA"/>
    <w:rsid w:val="00633E71"/>
    <w:rsid w:val="00640CAB"/>
    <w:rsid w:val="0064724A"/>
    <w:rsid w:val="00660D8A"/>
    <w:rsid w:val="006818D2"/>
    <w:rsid w:val="00690ADC"/>
    <w:rsid w:val="00695A4C"/>
    <w:rsid w:val="00697085"/>
    <w:rsid w:val="006A3717"/>
    <w:rsid w:val="006A5339"/>
    <w:rsid w:val="006D309B"/>
    <w:rsid w:val="006D6043"/>
    <w:rsid w:val="006E1722"/>
    <w:rsid w:val="006E522C"/>
    <w:rsid w:val="00700F63"/>
    <w:rsid w:val="0070100C"/>
    <w:rsid w:val="00704CE1"/>
    <w:rsid w:val="00706404"/>
    <w:rsid w:val="0071267F"/>
    <w:rsid w:val="0071614E"/>
    <w:rsid w:val="007214FD"/>
    <w:rsid w:val="0073602B"/>
    <w:rsid w:val="007364D0"/>
    <w:rsid w:val="00740717"/>
    <w:rsid w:val="0074370B"/>
    <w:rsid w:val="007470AC"/>
    <w:rsid w:val="007517A3"/>
    <w:rsid w:val="00754F44"/>
    <w:rsid w:val="0077623B"/>
    <w:rsid w:val="00777C96"/>
    <w:rsid w:val="00777F54"/>
    <w:rsid w:val="007835D1"/>
    <w:rsid w:val="00783D1E"/>
    <w:rsid w:val="007851C8"/>
    <w:rsid w:val="007936BA"/>
    <w:rsid w:val="00793B40"/>
    <w:rsid w:val="00796D9A"/>
    <w:rsid w:val="007A0BAB"/>
    <w:rsid w:val="007B14C8"/>
    <w:rsid w:val="007C3E2F"/>
    <w:rsid w:val="007D0ACE"/>
    <w:rsid w:val="007D15F3"/>
    <w:rsid w:val="007F4F18"/>
    <w:rsid w:val="007F76F6"/>
    <w:rsid w:val="007F797F"/>
    <w:rsid w:val="00801863"/>
    <w:rsid w:val="0081463D"/>
    <w:rsid w:val="00827ED5"/>
    <w:rsid w:val="00827F27"/>
    <w:rsid w:val="00831534"/>
    <w:rsid w:val="008401A6"/>
    <w:rsid w:val="008458C7"/>
    <w:rsid w:val="00863C96"/>
    <w:rsid w:val="00865AAD"/>
    <w:rsid w:val="00866D38"/>
    <w:rsid w:val="00867D14"/>
    <w:rsid w:val="00873E40"/>
    <w:rsid w:val="00877102"/>
    <w:rsid w:val="008867AF"/>
    <w:rsid w:val="00892744"/>
    <w:rsid w:val="008A68A4"/>
    <w:rsid w:val="008B3330"/>
    <w:rsid w:val="008B5CCB"/>
    <w:rsid w:val="008E2FF4"/>
    <w:rsid w:val="008E554C"/>
    <w:rsid w:val="008E7040"/>
    <w:rsid w:val="008F2477"/>
    <w:rsid w:val="008F64C7"/>
    <w:rsid w:val="00913526"/>
    <w:rsid w:val="00922DDB"/>
    <w:rsid w:val="00924DB6"/>
    <w:rsid w:val="009275A3"/>
    <w:rsid w:val="00954D57"/>
    <w:rsid w:val="00960555"/>
    <w:rsid w:val="00961F0F"/>
    <w:rsid w:val="0096412E"/>
    <w:rsid w:val="00965A21"/>
    <w:rsid w:val="0098304B"/>
    <w:rsid w:val="0099325F"/>
    <w:rsid w:val="00997A92"/>
    <w:rsid w:val="009A3B94"/>
    <w:rsid w:val="009A5A2F"/>
    <w:rsid w:val="009B5049"/>
    <w:rsid w:val="009D00BF"/>
    <w:rsid w:val="009D67B7"/>
    <w:rsid w:val="009E134A"/>
    <w:rsid w:val="009E6205"/>
    <w:rsid w:val="009F05DB"/>
    <w:rsid w:val="00A01C7C"/>
    <w:rsid w:val="00A06A68"/>
    <w:rsid w:val="00A0762A"/>
    <w:rsid w:val="00A109E4"/>
    <w:rsid w:val="00A149AC"/>
    <w:rsid w:val="00A14A58"/>
    <w:rsid w:val="00A17DD0"/>
    <w:rsid w:val="00A202F0"/>
    <w:rsid w:val="00A20A6C"/>
    <w:rsid w:val="00A25414"/>
    <w:rsid w:val="00A36176"/>
    <w:rsid w:val="00A372C5"/>
    <w:rsid w:val="00A37709"/>
    <w:rsid w:val="00A417B9"/>
    <w:rsid w:val="00A42088"/>
    <w:rsid w:val="00A47D6F"/>
    <w:rsid w:val="00A56961"/>
    <w:rsid w:val="00A66491"/>
    <w:rsid w:val="00A7037E"/>
    <w:rsid w:val="00A76940"/>
    <w:rsid w:val="00A77674"/>
    <w:rsid w:val="00A9093D"/>
    <w:rsid w:val="00AA6E05"/>
    <w:rsid w:val="00AB21CF"/>
    <w:rsid w:val="00AB4A24"/>
    <w:rsid w:val="00AD3C75"/>
    <w:rsid w:val="00AE385D"/>
    <w:rsid w:val="00AE518D"/>
    <w:rsid w:val="00AE7DFA"/>
    <w:rsid w:val="00AF3B49"/>
    <w:rsid w:val="00B1439C"/>
    <w:rsid w:val="00B14DBE"/>
    <w:rsid w:val="00B200B7"/>
    <w:rsid w:val="00B25B52"/>
    <w:rsid w:val="00B46218"/>
    <w:rsid w:val="00B675E1"/>
    <w:rsid w:val="00B70CBE"/>
    <w:rsid w:val="00B86341"/>
    <w:rsid w:val="00B969BD"/>
    <w:rsid w:val="00BA14B7"/>
    <w:rsid w:val="00BB1C39"/>
    <w:rsid w:val="00BB3F15"/>
    <w:rsid w:val="00BB55A5"/>
    <w:rsid w:val="00BD1580"/>
    <w:rsid w:val="00BD3B39"/>
    <w:rsid w:val="00BD4A4A"/>
    <w:rsid w:val="00BD755A"/>
    <w:rsid w:val="00BE0C18"/>
    <w:rsid w:val="00BE4AFC"/>
    <w:rsid w:val="00BF28CD"/>
    <w:rsid w:val="00BF48E9"/>
    <w:rsid w:val="00BF628E"/>
    <w:rsid w:val="00C0389C"/>
    <w:rsid w:val="00C0676F"/>
    <w:rsid w:val="00C17255"/>
    <w:rsid w:val="00C234A0"/>
    <w:rsid w:val="00C24537"/>
    <w:rsid w:val="00C43C9D"/>
    <w:rsid w:val="00C446A6"/>
    <w:rsid w:val="00C448C0"/>
    <w:rsid w:val="00C72898"/>
    <w:rsid w:val="00C91669"/>
    <w:rsid w:val="00CA32EC"/>
    <w:rsid w:val="00CB07AD"/>
    <w:rsid w:val="00CB287B"/>
    <w:rsid w:val="00CB3E5C"/>
    <w:rsid w:val="00CB7AD3"/>
    <w:rsid w:val="00CD71DC"/>
    <w:rsid w:val="00CE1965"/>
    <w:rsid w:val="00CF3B29"/>
    <w:rsid w:val="00CF55B0"/>
    <w:rsid w:val="00D00B3E"/>
    <w:rsid w:val="00D018E3"/>
    <w:rsid w:val="00D01980"/>
    <w:rsid w:val="00D11438"/>
    <w:rsid w:val="00D17EC9"/>
    <w:rsid w:val="00D20E54"/>
    <w:rsid w:val="00D22144"/>
    <w:rsid w:val="00D25496"/>
    <w:rsid w:val="00D27836"/>
    <w:rsid w:val="00D279FF"/>
    <w:rsid w:val="00D31784"/>
    <w:rsid w:val="00D41E2E"/>
    <w:rsid w:val="00D4686B"/>
    <w:rsid w:val="00D52A91"/>
    <w:rsid w:val="00D67082"/>
    <w:rsid w:val="00D73B11"/>
    <w:rsid w:val="00D75D16"/>
    <w:rsid w:val="00D83453"/>
    <w:rsid w:val="00D8608D"/>
    <w:rsid w:val="00D940DF"/>
    <w:rsid w:val="00D96643"/>
    <w:rsid w:val="00DA05EE"/>
    <w:rsid w:val="00DA13AC"/>
    <w:rsid w:val="00DA157D"/>
    <w:rsid w:val="00DA5E63"/>
    <w:rsid w:val="00DB25B6"/>
    <w:rsid w:val="00DC2EAE"/>
    <w:rsid w:val="00DE123E"/>
    <w:rsid w:val="00DE2E9E"/>
    <w:rsid w:val="00DE4432"/>
    <w:rsid w:val="00DE6849"/>
    <w:rsid w:val="00DF15B4"/>
    <w:rsid w:val="00DF27D9"/>
    <w:rsid w:val="00DF2D3B"/>
    <w:rsid w:val="00DF3C0B"/>
    <w:rsid w:val="00DF62EF"/>
    <w:rsid w:val="00E035F1"/>
    <w:rsid w:val="00E07533"/>
    <w:rsid w:val="00E11212"/>
    <w:rsid w:val="00E127A5"/>
    <w:rsid w:val="00E228A3"/>
    <w:rsid w:val="00E247B1"/>
    <w:rsid w:val="00E35B79"/>
    <w:rsid w:val="00E519BD"/>
    <w:rsid w:val="00E51D52"/>
    <w:rsid w:val="00E55347"/>
    <w:rsid w:val="00E70FFD"/>
    <w:rsid w:val="00E909EE"/>
    <w:rsid w:val="00E960A8"/>
    <w:rsid w:val="00EA2016"/>
    <w:rsid w:val="00EA371A"/>
    <w:rsid w:val="00EA61E2"/>
    <w:rsid w:val="00EA6EB7"/>
    <w:rsid w:val="00EB308D"/>
    <w:rsid w:val="00EC650D"/>
    <w:rsid w:val="00ED09C6"/>
    <w:rsid w:val="00ED45F3"/>
    <w:rsid w:val="00ED6837"/>
    <w:rsid w:val="00ED702C"/>
    <w:rsid w:val="00EE02E9"/>
    <w:rsid w:val="00EE17C3"/>
    <w:rsid w:val="00EE1890"/>
    <w:rsid w:val="00EE1B79"/>
    <w:rsid w:val="00EE2C31"/>
    <w:rsid w:val="00EE2D53"/>
    <w:rsid w:val="00EF1439"/>
    <w:rsid w:val="00F013FF"/>
    <w:rsid w:val="00F070A2"/>
    <w:rsid w:val="00F13C15"/>
    <w:rsid w:val="00F21A14"/>
    <w:rsid w:val="00F36E70"/>
    <w:rsid w:val="00F61EAF"/>
    <w:rsid w:val="00F620D9"/>
    <w:rsid w:val="00F660F0"/>
    <w:rsid w:val="00F66FDB"/>
    <w:rsid w:val="00F720DA"/>
    <w:rsid w:val="00F7252C"/>
    <w:rsid w:val="00F81E01"/>
    <w:rsid w:val="00F87D69"/>
    <w:rsid w:val="00F91F7F"/>
    <w:rsid w:val="00F94405"/>
    <w:rsid w:val="00FA0036"/>
    <w:rsid w:val="00FA2C2C"/>
    <w:rsid w:val="00FA4E89"/>
    <w:rsid w:val="00FA5B1F"/>
    <w:rsid w:val="00FA77FF"/>
    <w:rsid w:val="00FB0559"/>
    <w:rsid w:val="00FB43C9"/>
    <w:rsid w:val="00FB7DF3"/>
    <w:rsid w:val="00FC0B67"/>
    <w:rsid w:val="00FC1F8B"/>
    <w:rsid w:val="00FC644C"/>
    <w:rsid w:val="00FC6F20"/>
    <w:rsid w:val="00FD04E0"/>
    <w:rsid w:val="00FD106F"/>
    <w:rsid w:val="00FD273D"/>
    <w:rsid w:val="00FD48ED"/>
    <w:rsid w:val="00FD7D01"/>
    <w:rsid w:val="00FE0048"/>
    <w:rsid w:val="00FE2310"/>
    <w:rsid w:val="00FF38E1"/>
    <w:rsid w:val="00FF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34216FA"/>
  <w15:docId w15:val="{4E107018-211E-4E6C-AD36-88E28FB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61"/>
  </w:style>
  <w:style w:type="paragraph" w:styleId="Heading1">
    <w:name w:val="heading 1"/>
    <w:basedOn w:val="Normal"/>
    <w:next w:val="Normal"/>
    <w:qFormat/>
    <w:rsid w:val="00190B61"/>
    <w:pPr>
      <w:keepNext/>
      <w:numPr>
        <w:numId w:val="8"/>
      </w:numPr>
      <w:spacing w:before="240" w:after="60"/>
      <w:outlineLvl w:val="0"/>
    </w:pPr>
    <w:rPr>
      <w:rFonts w:ascii="Arial" w:hAnsi="Arial" w:cs="Arial"/>
      <w:b/>
      <w:bCs/>
      <w:i/>
      <w:sz w:val="28"/>
      <w:szCs w:val="28"/>
    </w:rPr>
  </w:style>
  <w:style w:type="paragraph" w:styleId="Heading2">
    <w:name w:val="heading 2"/>
    <w:basedOn w:val="Normal"/>
    <w:next w:val="Normal"/>
    <w:qFormat/>
    <w:rsid w:val="00566448"/>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D67082"/>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22FE"/>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22FE"/>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722FE"/>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722FE"/>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722F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722F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Para">
    <w:name w:val="Reg Para"/>
    <w:basedOn w:val="Normal"/>
    <w:pPr>
      <w:tabs>
        <w:tab w:val="left" w:pos="1080"/>
      </w:tabs>
    </w:pPr>
    <w:rPr>
      <w:sz w:val="24"/>
    </w:rPr>
  </w:style>
  <w:style w:type="character" w:styleId="Hyperlink">
    <w:name w:val="Hyperlink"/>
    <w:uiPriority w:val="99"/>
    <w:rPr>
      <w:color w:val="0000FF"/>
      <w:u w:val="single"/>
    </w:rPr>
  </w:style>
  <w:style w:type="paragraph" w:styleId="BodyText">
    <w:name w:val="Body Text"/>
    <w:basedOn w:val="Normal"/>
    <w:link w:val="BodyTextChar"/>
    <w:pPr>
      <w:jc w:val="both"/>
    </w:pPr>
    <w:rPr>
      <w:rFonts w:ascii="Arial" w:hAnsi="Arial" w:cs="Arial"/>
      <w:sz w:val="24"/>
    </w:rPr>
  </w:style>
  <w:style w:type="paragraph" w:styleId="BodyText2">
    <w:name w:val="Body Text 2"/>
    <w:basedOn w:val="Normal"/>
    <w:pPr>
      <w:jc w:val="center"/>
    </w:pPr>
    <w:rPr>
      <w:rFonts w:ascii="Arial Black" w:hAnsi="Arial Black" w:cs="Arial"/>
      <w:sz w:val="24"/>
    </w:rPr>
  </w:style>
  <w:style w:type="character" w:styleId="FollowedHyperlink">
    <w:name w:val="FollowedHyperlink"/>
    <w:rPr>
      <w:color w:val="800080"/>
      <w:u w:val="single"/>
    </w:rPr>
  </w:style>
  <w:style w:type="paragraph" w:styleId="BodyTextIndent">
    <w:name w:val="Body Text Indent"/>
    <w:basedOn w:val="Normal"/>
    <w:link w:val="BodyTextIndentChar"/>
    <w:rsid w:val="00FE0048"/>
    <w:pPr>
      <w:spacing w:after="120"/>
      <w:ind w:left="360"/>
    </w:pPr>
  </w:style>
  <w:style w:type="table" w:styleId="TableGrid">
    <w:name w:val="Table Grid"/>
    <w:basedOn w:val="TableNormal"/>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 w:val="24"/>
      <w:szCs w:val="24"/>
    </w:rPr>
  </w:style>
  <w:style w:type="paragraph" w:styleId="FootnoteText">
    <w:name w:val="footnote text"/>
    <w:basedOn w:val="Normal"/>
    <w:semiHidden/>
    <w:rsid w:val="00516414"/>
  </w:style>
  <w:style w:type="character" w:styleId="FootnoteReference">
    <w:name w:val="footnote reference"/>
    <w:semiHidden/>
    <w:rsid w:val="00516414"/>
    <w:rPr>
      <w:vertAlign w:val="superscript"/>
    </w:rPr>
  </w:style>
  <w:style w:type="paragraph" w:customStyle="1" w:styleId="numbered-1">
    <w:name w:val="numbered-1"/>
    <w:basedOn w:val="Normal"/>
    <w:rsid w:val="0043199D"/>
    <w:pPr>
      <w:numPr>
        <w:numId w:val="1"/>
      </w:numPr>
      <w:spacing w:before="120"/>
    </w:pPr>
    <w:rPr>
      <w:rFonts w:ascii="Arial" w:hAnsi="Arial" w:cs="Arial"/>
      <w:sz w:val="24"/>
    </w:rPr>
  </w:style>
  <w:style w:type="paragraph" w:customStyle="1" w:styleId="numbered-1extension">
    <w:name w:val="numbered-1 extension"/>
    <w:basedOn w:val="Normal"/>
    <w:rsid w:val="00CD71DC"/>
    <w:pPr>
      <w:ind w:left="450" w:right="720"/>
    </w:pPr>
    <w:rPr>
      <w:rFonts w:ascii="Arial" w:hAnsi="Arial" w:cs="Arial"/>
      <w:sz w:val="24"/>
    </w:rPr>
  </w:style>
  <w:style w:type="paragraph" w:customStyle="1" w:styleId="StyleArial12ptJustified">
    <w:name w:val="Style Arial 12 pt Justified"/>
    <w:basedOn w:val="Normal"/>
    <w:rsid w:val="001B6561"/>
    <w:pPr>
      <w:spacing w:before="120"/>
      <w:jc w:val="both"/>
    </w:pPr>
    <w:rPr>
      <w:rFonts w:ascii="Arial" w:hAnsi="Arial"/>
      <w:sz w:val="24"/>
    </w:rPr>
  </w:style>
  <w:style w:type="paragraph" w:styleId="Caption">
    <w:name w:val="caption"/>
    <w:basedOn w:val="Normal"/>
    <w:next w:val="Normal"/>
    <w:unhideWhenUsed/>
    <w:qFormat/>
    <w:rsid w:val="00005D08"/>
    <w:pPr>
      <w:spacing w:after="200"/>
    </w:pPr>
    <w:rPr>
      <w:i/>
      <w:iCs/>
      <w:color w:val="1F497D" w:themeColor="text2"/>
      <w:sz w:val="18"/>
      <w:szCs w:val="18"/>
    </w:rPr>
  </w:style>
  <w:style w:type="paragraph" w:styleId="TOCHeading">
    <w:name w:val="TOC Heading"/>
    <w:basedOn w:val="Heading1"/>
    <w:next w:val="Normal"/>
    <w:uiPriority w:val="39"/>
    <w:unhideWhenUsed/>
    <w:qFormat/>
    <w:rsid w:val="00F81E01"/>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F81E01"/>
    <w:pPr>
      <w:spacing w:after="100"/>
      <w:ind w:left="200"/>
    </w:pPr>
  </w:style>
  <w:style w:type="paragraph" w:styleId="TOC3">
    <w:name w:val="toc 3"/>
    <w:basedOn w:val="Normal"/>
    <w:next w:val="Normal"/>
    <w:autoRedefine/>
    <w:uiPriority w:val="39"/>
    <w:unhideWhenUsed/>
    <w:rsid w:val="001E34FB"/>
    <w:pPr>
      <w:spacing w:after="100"/>
      <w:ind w:left="400"/>
    </w:pPr>
  </w:style>
  <w:style w:type="paragraph" w:styleId="BalloonText">
    <w:name w:val="Balloon Text"/>
    <w:basedOn w:val="Normal"/>
    <w:link w:val="BalloonTextChar"/>
    <w:semiHidden/>
    <w:unhideWhenUsed/>
    <w:rsid w:val="00153417"/>
    <w:rPr>
      <w:rFonts w:ascii="Segoe UI" w:hAnsi="Segoe UI" w:cs="Segoe UI"/>
      <w:sz w:val="18"/>
      <w:szCs w:val="18"/>
    </w:rPr>
  </w:style>
  <w:style w:type="character" w:customStyle="1" w:styleId="BalloonTextChar">
    <w:name w:val="Balloon Text Char"/>
    <w:basedOn w:val="DefaultParagraphFont"/>
    <w:link w:val="BalloonText"/>
    <w:semiHidden/>
    <w:rsid w:val="00153417"/>
    <w:rPr>
      <w:rFonts w:ascii="Segoe UI" w:hAnsi="Segoe UI" w:cs="Segoe UI"/>
      <w:sz w:val="18"/>
      <w:szCs w:val="18"/>
    </w:rPr>
  </w:style>
  <w:style w:type="paragraph" w:styleId="ListParagraph">
    <w:name w:val="List Paragraph"/>
    <w:basedOn w:val="Normal"/>
    <w:uiPriority w:val="34"/>
    <w:qFormat/>
    <w:rsid w:val="00DA5E63"/>
    <w:pPr>
      <w:numPr>
        <w:numId w:val="6"/>
      </w:numPr>
      <w:contextualSpacing/>
    </w:pPr>
    <w:rPr>
      <w:rFonts w:ascii="Arial" w:hAnsi="Arial" w:cs="Arial"/>
      <w:sz w:val="24"/>
      <w:szCs w:val="24"/>
    </w:rPr>
  </w:style>
  <w:style w:type="character" w:styleId="CommentReference">
    <w:name w:val="annotation reference"/>
    <w:basedOn w:val="DefaultParagraphFont"/>
    <w:semiHidden/>
    <w:unhideWhenUsed/>
    <w:rsid w:val="00EA371A"/>
    <w:rPr>
      <w:sz w:val="18"/>
      <w:szCs w:val="18"/>
    </w:rPr>
  </w:style>
  <w:style w:type="paragraph" w:styleId="CommentText">
    <w:name w:val="annotation text"/>
    <w:basedOn w:val="Normal"/>
    <w:link w:val="CommentTextChar"/>
    <w:semiHidden/>
    <w:unhideWhenUsed/>
    <w:rsid w:val="00EA371A"/>
    <w:rPr>
      <w:sz w:val="24"/>
      <w:szCs w:val="24"/>
    </w:rPr>
  </w:style>
  <w:style w:type="character" w:customStyle="1" w:styleId="CommentTextChar">
    <w:name w:val="Comment Text Char"/>
    <w:basedOn w:val="DefaultParagraphFont"/>
    <w:link w:val="CommentText"/>
    <w:semiHidden/>
    <w:rsid w:val="00EA371A"/>
    <w:rPr>
      <w:sz w:val="24"/>
      <w:szCs w:val="24"/>
    </w:rPr>
  </w:style>
  <w:style w:type="paragraph" w:styleId="CommentSubject">
    <w:name w:val="annotation subject"/>
    <w:basedOn w:val="CommentText"/>
    <w:next w:val="CommentText"/>
    <w:link w:val="CommentSubjectChar"/>
    <w:semiHidden/>
    <w:unhideWhenUsed/>
    <w:rsid w:val="00EA371A"/>
    <w:rPr>
      <w:b/>
      <w:bCs/>
      <w:sz w:val="20"/>
      <w:szCs w:val="20"/>
    </w:rPr>
  </w:style>
  <w:style w:type="character" w:customStyle="1" w:styleId="CommentSubjectChar">
    <w:name w:val="Comment Subject Char"/>
    <w:basedOn w:val="CommentTextChar"/>
    <w:link w:val="CommentSubject"/>
    <w:semiHidden/>
    <w:rsid w:val="00EA371A"/>
    <w:rPr>
      <w:b/>
      <w:bCs/>
      <w:sz w:val="24"/>
      <w:szCs w:val="24"/>
    </w:rPr>
  </w:style>
  <w:style w:type="paragraph" w:styleId="Revision">
    <w:name w:val="Revision"/>
    <w:hidden/>
    <w:uiPriority w:val="99"/>
    <w:semiHidden/>
    <w:rsid w:val="00EA371A"/>
  </w:style>
  <w:style w:type="character" w:customStyle="1" w:styleId="Heading4Char">
    <w:name w:val="Heading 4 Char"/>
    <w:basedOn w:val="DefaultParagraphFont"/>
    <w:link w:val="Heading4"/>
    <w:semiHidden/>
    <w:rsid w:val="005722F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5722F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5722F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5722F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5722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722F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qFormat/>
    <w:rsid w:val="00190B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odyTextChar">
    <w:name w:val="Body Text Char"/>
    <w:basedOn w:val="DefaultParagraphFont"/>
    <w:link w:val="BodyText"/>
    <w:rsid w:val="00190B61"/>
    <w:rPr>
      <w:rFonts w:ascii="Arial" w:hAnsi="Arial" w:cs="Arial"/>
      <w:sz w:val="24"/>
    </w:rPr>
  </w:style>
  <w:style w:type="character" w:customStyle="1" w:styleId="BodyTextIndentChar">
    <w:name w:val="Body Text Indent Char"/>
    <w:basedOn w:val="DefaultParagraphFont"/>
    <w:link w:val="BodyTextIndent"/>
    <w:rsid w:val="00190B61"/>
  </w:style>
  <w:style w:type="character" w:customStyle="1" w:styleId="SubtitleChar">
    <w:name w:val="Subtitle Char"/>
    <w:basedOn w:val="DefaultParagraphFont"/>
    <w:link w:val="Subtitle"/>
    <w:rsid w:val="00190B61"/>
    <w:rPr>
      <w:rFonts w:asciiTheme="minorHAnsi" w:eastAsiaTheme="minorEastAsia" w:hAnsiTheme="minorHAnsi" w:cstheme="minorBidi"/>
      <w:color w:val="5A5A5A" w:themeColor="text1" w:themeTint="A5"/>
      <w:spacing w:val="15"/>
      <w:sz w:val="22"/>
      <w:szCs w:val="22"/>
    </w:rPr>
  </w:style>
  <w:style w:type="paragraph" w:styleId="TOC1">
    <w:name w:val="toc 1"/>
    <w:basedOn w:val="Normal"/>
    <w:next w:val="Normal"/>
    <w:autoRedefine/>
    <w:uiPriority w:val="39"/>
    <w:unhideWhenUsed/>
    <w:rsid w:val="00190B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7194">
      <w:bodyDiv w:val="1"/>
      <w:marLeft w:val="0"/>
      <w:marRight w:val="0"/>
      <w:marTop w:val="0"/>
      <w:marBottom w:val="0"/>
      <w:divBdr>
        <w:top w:val="none" w:sz="0" w:space="0" w:color="auto"/>
        <w:left w:val="none" w:sz="0" w:space="0" w:color="auto"/>
        <w:bottom w:val="none" w:sz="0" w:space="0" w:color="auto"/>
        <w:right w:val="none" w:sz="0" w:space="0" w:color="auto"/>
      </w:divBdr>
    </w:div>
    <w:div w:id="319624210">
      <w:bodyDiv w:val="1"/>
      <w:marLeft w:val="0"/>
      <w:marRight w:val="0"/>
      <w:marTop w:val="0"/>
      <w:marBottom w:val="0"/>
      <w:divBdr>
        <w:top w:val="none" w:sz="0" w:space="0" w:color="auto"/>
        <w:left w:val="none" w:sz="0" w:space="0" w:color="auto"/>
        <w:bottom w:val="none" w:sz="0" w:space="0" w:color="auto"/>
        <w:right w:val="none" w:sz="0" w:space="0" w:color="auto"/>
      </w:divBdr>
    </w:div>
    <w:div w:id="343746817">
      <w:bodyDiv w:val="1"/>
      <w:marLeft w:val="0"/>
      <w:marRight w:val="0"/>
      <w:marTop w:val="0"/>
      <w:marBottom w:val="0"/>
      <w:divBdr>
        <w:top w:val="none" w:sz="0" w:space="0" w:color="auto"/>
        <w:left w:val="none" w:sz="0" w:space="0" w:color="auto"/>
        <w:bottom w:val="none" w:sz="0" w:space="0" w:color="auto"/>
        <w:right w:val="none" w:sz="0" w:space="0" w:color="auto"/>
      </w:divBdr>
    </w:div>
    <w:div w:id="1397121472">
      <w:bodyDiv w:val="1"/>
      <w:marLeft w:val="0"/>
      <w:marRight w:val="0"/>
      <w:marTop w:val="0"/>
      <w:marBottom w:val="0"/>
      <w:divBdr>
        <w:top w:val="none" w:sz="0" w:space="0" w:color="auto"/>
        <w:left w:val="none" w:sz="0" w:space="0" w:color="auto"/>
        <w:bottom w:val="none" w:sz="0" w:space="0" w:color="auto"/>
        <w:right w:val="none" w:sz="0" w:space="0" w:color="auto"/>
      </w:divBdr>
    </w:div>
    <w:div w:id="1989165114">
      <w:bodyDiv w:val="1"/>
      <w:marLeft w:val="0"/>
      <w:marRight w:val="0"/>
      <w:marTop w:val="0"/>
      <w:marBottom w:val="0"/>
      <w:divBdr>
        <w:top w:val="none" w:sz="0" w:space="0" w:color="auto"/>
        <w:left w:val="none" w:sz="0" w:space="0" w:color="auto"/>
        <w:bottom w:val="none" w:sz="0" w:space="0" w:color="auto"/>
        <w:right w:val="none" w:sz="0" w:space="0" w:color="auto"/>
      </w:divBdr>
      <w:divsChild>
        <w:div w:id="314919587">
          <w:marLeft w:val="0"/>
          <w:marRight w:val="0"/>
          <w:marTop w:val="0"/>
          <w:marBottom w:val="0"/>
          <w:divBdr>
            <w:top w:val="none" w:sz="0" w:space="0" w:color="auto"/>
            <w:left w:val="none" w:sz="0" w:space="0" w:color="auto"/>
            <w:bottom w:val="none" w:sz="0" w:space="0" w:color="auto"/>
            <w:right w:val="none" w:sz="0" w:space="0" w:color="auto"/>
          </w:divBdr>
        </w:div>
        <w:div w:id="760952349">
          <w:marLeft w:val="0"/>
          <w:marRight w:val="0"/>
          <w:marTop w:val="0"/>
          <w:marBottom w:val="0"/>
          <w:divBdr>
            <w:top w:val="none" w:sz="0" w:space="0" w:color="auto"/>
            <w:left w:val="none" w:sz="0" w:space="0" w:color="auto"/>
            <w:bottom w:val="none" w:sz="0" w:space="0" w:color="auto"/>
            <w:right w:val="none" w:sz="0" w:space="0" w:color="auto"/>
          </w:divBdr>
          <w:divsChild>
            <w:div w:id="764032807">
              <w:marLeft w:val="0"/>
              <w:marRight w:val="0"/>
              <w:marTop w:val="0"/>
              <w:marBottom w:val="0"/>
              <w:divBdr>
                <w:top w:val="none" w:sz="0" w:space="0" w:color="auto"/>
                <w:left w:val="none" w:sz="0" w:space="0" w:color="auto"/>
                <w:bottom w:val="none" w:sz="0" w:space="0" w:color="auto"/>
                <w:right w:val="none" w:sz="0" w:space="0" w:color="auto"/>
              </w:divBdr>
              <w:divsChild>
                <w:div w:id="554849844">
                  <w:marLeft w:val="0"/>
                  <w:marRight w:val="0"/>
                  <w:marTop w:val="0"/>
                  <w:marBottom w:val="0"/>
                  <w:divBdr>
                    <w:top w:val="none" w:sz="0" w:space="0" w:color="auto"/>
                    <w:left w:val="none" w:sz="0" w:space="0" w:color="auto"/>
                    <w:bottom w:val="none" w:sz="0" w:space="0" w:color="auto"/>
                    <w:right w:val="none" w:sz="0" w:space="0" w:color="auto"/>
                  </w:divBdr>
                </w:div>
                <w:div w:id="587733150">
                  <w:marLeft w:val="0"/>
                  <w:marRight w:val="0"/>
                  <w:marTop w:val="0"/>
                  <w:marBottom w:val="0"/>
                  <w:divBdr>
                    <w:top w:val="none" w:sz="0" w:space="0" w:color="auto"/>
                    <w:left w:val="none" w:sz="0" w:space="0" w:color="auto"/>
                    <w:bottom w:val="none" w:sz="0" w:space="0" w:color="auto"/>
                    <w:right w:val="none" w:sz="0" w:space="0" w:color="auto"/>
                  </w:divBdr>
                </w:div>
                <w:div w:id="977881594">
                  <w:marLeft w:val="0"/>
                  <w:marRight w:val="0"/>
                  <w:marTop w:val="0"/>
                  <w:marBottom w:val="0"/>
                  <w:divBdr>
                    <w:top w:val="none" w:sz="0" w:space="0" w:color="auto"/>
                    <w:left w:val="none" w:sz="0" w:space="0" w:color="auto"/>
                    <w:bottom w:val="none" w:sz="0" w:space="0" w:color="auto"/>
                    <w:right w:val="none" w:sz="0" w:space="0" w:color="auto"/>
                  </w:divBdr>
                </w:div>
                <w:div w:id="1953631901">
                  <w:marLeft w:val="0"/>
                  <w:marRight w:val="0"/>
                  <w:marTop w:val="0"/>
                  <w:marBottom w:val="0"/>
                  <w:divBdr>
                    <w:top w:val="none" w:sz="0" w:space="0" w:color="auto"/>
                    <w:left w:val="none" w:sz="0" w:space="0" w:color="auto"/>
                    <w:bottom w:val="none" w:sz="0" w:space="0" w:color="auto"/>
                    <w:right w:val="none" w:sz="0" w:space="0" w:color="auto"/>
                  </w:divBdr>
                </w:div>
              </w:divsChild>
            </w:div>
            <w:div w:id="794375770">
              <w:marLeft w:val="0"/>
              <w:marRight w:val="0"/>
              <w:marTop w:val="0"/>
              <w:marBottom w:val="0"/>
              <w:divBdr>
                <w:top w:val="none" w:sz="0" w:space="0" w:color="auto"/>
                <w:left w:val="none" w:sz="0" w:space="0" w:color="auto"/>
                <w:bottom w:val="none" w:sz="0" w:space="0" w:color="auto"/>
                <w:right w:val="none" w:sz="0" w:space="0" w:color="auto"/>
              </w:divBdr>
              <w:divsChild>
                <w:div w:id="1597860966">
                  <w:marLeft w:val="0"/>
                  <w:marRight w:val="0"/>
                  <w:marTop w:val="0"/>
                  <w:marBottom w:val="0"/>
                  <w:divBdr>
                    <w:top w:val="none" w:sz="0" w:space="0" w:color="auto"/>
                    <w:left w:val="none" w:sz="0" w:space="0" w:color="auto"/>
                    <w:bottom w:val="none" w:sz="0" w:space="0" w:color="auto"/>
                    <w:right w:val="none" w:sz="0" w:space="0" w:color="auto"/>
                  </w:divBdr>
                </w:div>
              </w:divsChild>
            </w:div>
            <w:div w:id="1590578516">
              <w:marLeft w:val="0"/>
              <w:marRight w:val="0"/>
              <w:marTop w:val="0"/>
              <w:marBottom w:val="0"/>
              <w:divBdr>
                <w:top w:val="none" w:sz="0" w:space="0" w:color="auto"/>
                <w:left w:val="none" w:sz="0" w:space="0" w:color="auto"/>
                <w:bottom w:val="none" w:sz="0" w:space="0" w:color="auto"/>
                <w:right w:val="none" w:sz="0" w:space="0" w:color="auto"/>
              </w:divBdr>
              <w:divsChild>
                <w:div w:id="598148689">
                  <w:marLeft w:val="0"/>
                  <w:marRight w:val="0"/>
                  <w:marTop w:val="0"/>
                  <w:marBottom w:val="0"/>
                  <w:divBdr>
                    <w:top w:val="none" w:sz="0" w:space="0" w:color="auto"/>
                    <w:left w:val="none" w:sz="0" w:space="0" w:color="auto"/>
                    <w:bottom w:val="none" w:sz="0" w:space="0" w:color="auto"/>
                    <w:right w:val="none" w:sz="0" w:space="0" w:color="auto"/>
                  </w:divBdr>
                </w:div>
                <w:div w:id="731463824">
                  <w:marLeft w:val="0"/>
                  <w:marRight w:val="0"/>
                  <w:marTop w:val="0"/>
                  <w:marBottom w:val="0"/>
                  <w:divBdr>
                    <w:top w:val="none" w:sz="0" w:space="0" w:color="auto"/>
                    <w:left w:val="none" w:sz="0" w:space="0" w:color="auto"/>
                    <w:bottom w:val="none" w:sz="0" w:space="0" w:color="auto"/>
                    <w:right w:val="none" w:sz="0" w:space="0" w:color="auto"/>
                  </w:divBdr>
                </w:div>
              </w:divsChild>
            </w:div>
            <w:div w:id="1878809671">
              <w:marLeft w:val="0"/>
              <w:marRight w:val="0"/>
              <w:marTop w:val="0"/>
              <w:marBottom w:val="0"/>
              <w:divBdr>
                <w:top w:val="none" w:sz="0" w:space="0" w:color="auto"/>
                <w:left w:val="none" w:sz="0" w:space="0" w:color="auto"/>
                <w:bottom w:val="none" w:sz="0" w:space="0" w:color="auto"/>
                <w:right w:val="none" w:sz="0" w:space="0" w:color="auto"/>
              </w:divBdr>
              <w:divsChild>
                <w:div w:id="62335636">
                  <w:marLeft w:val="0"/>
                  <w:marRight w:val="0"/>
                  <w:marTop w:val="0"/>
                  <w:marBottom w:val="0"/>
                  <w:divBdr>
                    <w:top w:val="none" w:sz="0" w:space="0" w:color="auto"/>
                    <w:left w:val="none" w:sz="0" w:space="0" w:color="auto"/>
                    <w:bottom w:val="none" w:sz="0" w:space="0" w:color="auto"/>
                    <w:right w:val="none" w:sz="0" w:space="0" w:color="auto"/>
                  </w:divBdr>
                </w:div>
                <w:div w:id="246813408">
                  <w:marLeft w:val="0"/>
                  <w:marRight w:val="0"/>
                  <w:marTop w:val="0"/>
                  <w:marBottom w:val="0"/>
                  <w:divBdr>
                    <w:top w:val="none" w:sz="0" w:space="0" w:color="auto"/>
                    <w:left w:val="none" w:sz="0" w:space="0" w:color="auto"/>
                    <w:bottom w:val="none" w:sz="0" w:space="0" w:color="auto"/>
                    <w:right w:val="none" w:sz="0" w:space="0" w:color="auto"/>
                  </w:divBdr>
                </w:div>
                <w:div w:id="354308416">
                  <w:marLeft w:val="0"/>
                  <w:marRight w:val="0"/>
                  <w:marTop w:val="0"/>
                  <w:marBottom w:val="0"/>
                  <w:divBdr>
                    <w:top w:val="none" w:sz="0" w:space="0" w:color="auto"/>
                    <w:left w:val="none" w:sz="0" w:space="0" w:color="auto"/>
                    <w:bottom w:val="none" w:sz="0" w:space="0" w:color="auto"/>
                    <w:right w:val="none" w:sz="0" w:space="0" w:color="auto"/>
                  </w:divBdr>
                </w:div>
                <w:div w:id="394403348">
                  <w:marLeft w:val="0"/>
                  <w:marRight w:val="0"/>
                  <w:marTop w:val="0"/>
                  <w:marBottom w:val="0"/>
                  <w:divBdr>
                    <w:top w:val="none" w:sz="0" w:space="0" w:color="auto"/>
                    <w:left w:val="none" w:sz="0" w:space="0" w:color="auto"/>
                    <w:bottom w:val="none" w:sz="0" w:space="0" w:color="auto"/>
                    <w:right w:val="none" w:sz="0" w:space="0" w:color="auto"/>
                  </w:divBdr>
                </w:div>
                <w:div w:id="459500042">
                  <w:marLeft w:val="0"/>
                  <w:marRight w:val="0"/>
                  <w:marTop w:val="0"/>
                  <w:marBottom w:val="0"/>
                  <w:divBdr>
                    <w:top w:val="none" w:sz="0" w:space="0" w:color="auto"/>
                    <w:left w:val="none" w:sz="0" w:space="0" w:color="auto"/>
                    <w:bottom w:val="none" w:sz="0" w:space="0" w:color="auto"/>
                    <w:right w:val="none" w:sz="0" w:space="0" w:color="auto"/>
                  </w:divBdr>
                </w:div>
                <w:div w:id="493687632">
                  <w:marLeft w:val="0"/>
                  <w:marRight w:val="0"/>
                  <w:marTop w:val="0"/>
                  <w:marBottom w:val="0"/>
                  <w:divBdr>
                    <w:top w:val="none" w:sz="0" w:space="0" w:color="auto"/>
                    <w:left w:val="none" w:sz="0" w:space="0" w:color="auto"/>
                    <w:bottom w:val="none" w:sz="0" w:space="0" w:color="auto"/>
                    <w:right w:val="none" w:sz="0" w:space="0" w:color="auto"/>
                  </w:divBdr>
                </w:div>
                <w:div w:id="676928812">
                  <w:marLeft w:val="0"/>
                  <w:marRight w:val="0"/>
                  <w:marTop w:val="0"/>
                  <w:marBottom w:val="0"/>
                  <w:divBdr>
                    <w:top w:val="none" w:sz="0" w:space="0" w:color="auto"/>
                    <w:left w:val="none" w:sz="0" w:space="0" w:color="auto"/>
                    <w:bottom w:val="none" w:sz="0" w:space="0" w:color="auto"/>
                    <w:right w:val="none" w:sz="0" w:space="0" w:color="auto"/>
                  </w:divBdr>
                </w:div>
                <w:div w:id="1308507709">
                  <w:marLeft w:val="0"/>
                  <w:marRight w:val="0"/>
                  <w:marTop w:val="0"/>
                  <w:marBottom w:val="0"/>
                  <w:divBdr>
                    <w:top w:val="none" w:sz="0" w:space="0" w:color="auto"/>
                    <w:left w:val="none" w:sz="0" w:space="0" w:color="auto"/>
                    <w:bottom w:val="none" w:sz="0" w:space="0" w:color="auto"/>
                    <w:right w:val="none" w:sz="0" w:space="0" w:color="auto"/>
                  </w:divBdr>
                </w:div>
                <w:div w:id="1425884898">
                  <w:marLeft w:val="0"/>
                  <w:marRight w:val="0"/>
                  <w:marTop w:val="0"/>
                  <w:marBottom w:val="0"/>
                  <w:divBdr>
                    <w:top w:val="none" w:sz="0" w:space="0" w:color="auto"/>
                    <w:left w:val="none" w:sz="0" w:space="0" w:color="auto"/>
                    <w:bottom w:val="none" w:sz="0" w:space="0" w:color="auto"/>
                    <w:right w:val="none" w:sz="0" w:space="0" w:color="auto"/>
                  </w:divBdr>
                </w:div>
                <w:div w:id="1663701254">
                  <w:marLeft w:val="0"/>
                  <w:marRight w:val="0"/>
                  <w:marTop w:val="0"/>
                  <w:marBottom w:val="0"/>
                  <w:divBdr>
                    <w:top w:val="none" w:sz="0" w:space="0" w:color="auto"/>
                    <w:left w:val="none" w:sz="0" w:space="0" w:color="auto"/>
                    <w:bottom w:val="none" w:sz="0" w:space="0" w:color="auto"/>
                    <w:right w:val="none" w:sz="0" w:space="0" w:color="auto"/>
                  </w:divBdr>
                </w:div>
                <w:div w:id="1677344121">
                  <w:marLeft w:val="0"/>
                  <w:marRight w:val="0"/>
                  <w:marTop w:val="0"/>
                  <w:marBottom w:val="0"/>
                  <w:divBdr>
                    <w:top w:val="none" w:sz="0" w:space="0" w:color="auto"/>
                    <w:left w:val="none" w:sz="0" w:space="0" w:color="auto"/>
                    <w:bottom w:val="none" w:sz="0" w:space="0" w:color="auto"/>
                    <w:right w:val="none" w:sz="0" w:space="0" w:color="auto"/>
                  </w:divBdr>
                </w:div>
                <w:div w:id="1720058568">
                  <w:marLeft w:val="0"/>
                  <w:marRight w:val="0"/>
                  <w:marTop w:val="0"/>
                  <w:marBottom w:val="0"/>
                  <w:divBdr>
                    <w:top w:val="none" w:sz="0" w:space="0" w:color="auto"/>
                    <w:left w:val="none" w:sz="0" w:space="0" w:color="auto"/>
                    <w:bottom w:val="none" w:sz="0" w:space="0" w:color="auto"/>
                    <w:right w:val="none" w:sz="0" w:space="0" w:color="auto"/>
                  </w:divBdr>
                </w:div>
                <w:div w:id="1720475502">
                  <w:marLeft w:val="0"/>
                  <w:marRight w:val="0"/>
                  <w:marTop w:val="0"/>
                  <w:marBottom w:val="0"/>
                  <w:divBdr>
                    <w:top w:val="none" w:sz="0" w:space="0" w:color="auto"/>
                    <w:left w:val="none" w:sz="0" w:space="0" w:color="auto"/>
                    <w:bottom w:val="none" w:sz="0" w:space="0" w:color="auto"/>
                    <w:right w:val="none" w:sz="0" w:space="0" w:color="auto"/>
                  </w:divBdr>
                </w:div>
                <w:div w:id="1762263496">
                  <w:marLeft w:val="0"/>
                  <w:marRight w:val="0"/>
                  <w:marTop w:val="0"/>
                  <w:marBottom w:val="0"/>
                  <w:divBdr>
                    <w:top w:val="none" w:sz="0" w:space="0" w:color="auto"/>
                    <w:left w:val="none" w:sz="0" w:space="0" w:color="auto"/>
                    <w:bottom w:val="none" w:sz="0" w:space="0" w:color="auto"/>
                    <w:right w:val="none" w:sz="0" w:space="0" w:color="auto"/>
                  </w:divBdr>
                </w:div>
                <w:div w:id="1885865999">
                  <w:marLeft w:val="0"/>
                  <w:marRight w:val="0"/>
                  <w:marTop w:val="0"/>
                  <w:marBottom w:val="0"/>
                  <w:divBdr>
                    <w:top w:val="none" w:sz="0" w:space="0" w:color="auto"/>
                    <w:left w:val="none" w:sz="0" w:space="0" w:color="auto"/>
                    <w:bottom w:val="none" w:sz="0" w:space="0" w:color="auto"/>
                    <w:right w:val="none" w:sz="0" w:space="0" w:color="auto"/>
                  </w:divBdr>
                </w:div>
                <w:div w:id="211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cc.ligo.org/LIGO-E1100948" TargetMode="External"/><Relationship Id="rId2" Type="http://schemas.openxmlformats.org/officeDocument/2006/relationships/hyperlink" Target="https://dcc.ligo.org/LIGO-T1300006" TargetMode="External"/><Relationship Id="rId1" Type="http://schemas.openxmlformats.org/officeDocument/2006/relationships/hyperlink" Target="https://dcc.ligo.org/LIGO-E1300001" TargetMode="External"/><Relationship Id="rId4" Type="http://schemas.openxmlformats.org/officeDocument/2006/relationships/hyperlink" Target="https://dcc.ligo.org/LIGO-E0900047"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875D-695A-462A-A48F-10618CE8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CALTECH</Company>
  <LinksUpToDate>false</LinksUpToDate>
  <CharactersWithSpaces>6773</CharactersWithSpaces>
  <SharedDoc>false</SharedDoc>
  <HLinks>
    <vt:vector size="6" baseType="variant">
      <vt:variant>
        <vt:i4>7405666</vt:i4>
      </vt:variant>
      <vt:variant>
        <vt:i4>15</vt:i4>
      </vt:variant>
      <vt:variant>
        <vt:i4>0</vt:i4>
      </vt:variant>
      <vt:variant>
        <vt:i4>5</vt:i4>
      </vt:variant>
      <vt:variant>
        <vt:lpwstr>http://www.eng-external.rl.ac.uk/advligo/Reviews/Quad structure FRR.htm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Dennis Coyne</dc:creator>
  <cp:lastModifiedBy>Dennis Coyne</cp:lastModifiedBy>
  <cp:revision>4</cp:revision>
  <cp:lastPrinted>2014-02-20T18:20:00Z</cp:lastPrinted>
  <dcterms:created xsi:type="dcterms:W3CDTF">2014-02-20T18:15:00Z</dcterms:created>
  <dcterms:modified xsi:type="dcterms:W3CDTF">2014-02-20T18:20:00Z</dcterms:modified>
</cp:coreProperties>
</file>