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9" w:rsidRDefault="00556138" w:rsidP="00D34641">
      <w:pPr>
        <w:rPr>
          <w:b/>
        </w:rPr>
      </w:pPr>
      <w:r>
        <w:rPr>
          <w:b/>
        </w:rPr>
        <w:t>Effect of High Optical Power on ISC RFPDs</w:t>
      </w:r>
    </w:p>
    <w:p w:rsidR="00D34641" w:rsidRDefault="00D34641" w:rsidP="00D34641">
      <w:pPr>
        <w:rPr>
          <w:b/>
        </w:rPr>
      </w:pPr>
      <w:r>
        <w:rPr>
          <w:b/>
        </w:rPr>
        <w:t>R</w:t>
      </w:r>
      <w:r w:rsidR="00556138">
        <w:rPr>
          <w:b/>
        </w:rPr>
        <w:t>.</w:t>
      </w:r>
      <w:r>
        <w:rPr>
          <w:b/>
        </w:rPr>
        <w:t xml:space="preserve"> Abbott</w:t>
      </w:r>
      <w:r w:rsidR="00556138">
        <w:rPr>
          <w:b/>
        </w:rPr>
        <w:t>, K. Arai</w:t>
      </w:r>
    </w:p>
    <w:p w:rsidR="00BB40BF" w:rsidRDefault="008D6B21" w:rsidP="00D34641">
      <w:pPr>
        <w:rPr>
          <w:b/>
        </w:rPr>
      </w:pPr>
      <w:r>
        <w:rPr>
          <w:b/>
        </w:rPr>
        <w:t>30</w:t>
      </w:r>
      <w:r w:rsidR="00712250">
        <w:rPr>
          <w:b/>
        </w:rPr>
        <w:t xml:space="preserve"> </w:t>
      </w:r>
      <w:r w:rsidR="00556138">
        <w:rPr>
          <w:b/>
        </w:rPr>
        <w:t>January, 2014</w:t>
      </w:r>
    </w:p>
    <w:p w:rsidR="00D34641" w:rsidRPr="00303C28" w:rsidRDefault="00D34641" w:rsidP="00D34641">
      <w:pPr>
        <w:rPr>
          <w:b/>
          <w:sz w:val="20"/>
          <w:szCs w:val="20"/>
        </w:rPr>
      </w:pPr>
    </w:p>
    <w:p w:rsidR="00686384" w:rsidRDefault="00EC4675" w:rsidP="00EC4675">
      <w:pPr>
        <w:numPr>
          <w:ilvl w:val="0"/>
          <w:numId w:val="32"/>
        </w:numPr>
        <w:rPr>
          <w:b/>
        </w:rPr>
      </w:pPr>
      <w:r>
        <w:rPr>
          <w:b/>
        </w:rPr>
        <w:t xml:space="preserve">Overview </w:t>
      </w:r>
    </w:p>
    <w:p w:rsidR="00686384" w:rsidRDefault="00556138" w:rsidP="00686384">
      <w:pPr>
        <w:ind w:firstLine="720"/>
      </w:pPr>
      <w:r>
        <w:t xml:space="preserve">Not much is known about sustained high optical power laser beams on the ISC RFPDs.  Some characterization was done on the LSC RFPD (C30642) diode element at optical powers up to ~100mW, but we need data on sustained illumination at up to 1 watt </w:t>
      </w:r>
      <w:r w:rsidR="00C076C4">
        <w:t xml:space="preserve">(1064nm) </w:t>
      </w:r>
      <w:r>
        <w:t>as may be encountered inside HAM1 during times when the IFO is not locked.</w:t>
      </w:r>
    </w:p>
    <w:p w:rsidR="00556138" w:rsidRDefault="00556138" w:rsidP="00686384">
      <w:pPr>
        <w:ind w:firstLine="720"/>
      </w:pPr>
      <w:r>
        <w:t>A setup was created in the 40m lab where a portion of the PSL beam was diverted and used as an optical input to an RFPD under test.  A wave plate was used to control power giving us a range of a few mW up to ~1.7 W.  An optical power meter was used to measure the light level, and an RFPD was instrumented so that we could monitor several critical voltages.</w:t>
      </w:r>
      <w:r w:rsidR="002B275C">
        <w:t xml:space="preserve">  The beam spot size (at 13.5% of the profile amplitude) was measured to be 0.98mm in X and Y using a beam scan.</w:t>
      </w:r>
    </w:p>
    <w:p w:rsidR="008708A9" w:rsidRDefault="008708A9" w:rsidP="00686384">
      <w:pPr>
        <w:ind w:firstLine="720"/>
      </w:pPr>
    </w:p>
    <w:p w:rsidR="008708A9" w:rsidRDefault="008708A9" w:rsidP="00686384">
      <w:pPr>
        <w:ind w:firstLine="720"/>
      </w:pPr>
      <w:bookmarkStart w:id="0" w:name="_GoBack"/>
      <w:bookmarkEnd w:id="0"/>
    </w:p>
    <w:p w:rsidR="00D13520" w:rsidRPr="008708A9" w:rsidRDefault="002B275C" w:rsidP="00D13520">
      <w:pPr>
        <w:pStyle w:val="ListParagraph"/>
        <w:numPr>
          <w:ilvl w:val="0"/>
          <w:numId w:val="32"/>
        </w:numPr>
        <w:rPr>
          <w:b/>
        </w:rPr>
      </w:pPr>
      <w:r>
        <w:rPr>
          <w:b/>
        </w:rPr>
        <w:t xml:space="preserve">LSC Detector </w:t>
      </w:r>
      <w:r w:rsidR="00D13520" w:rsidRPr="008708A9">
        <w:rPr>
          <w:b/>
        </w:rPr>
        <w:t>Results</w:t>
      </w:r>
    </w:p>
    <w:p w:rsidR="00D13520" w:rsidRDefault="00D13520" w:rsidP="00D13520">
      <w:pPr>
        <w:ind w:left="360" w:firstLine="360"/>
      </w:pPr>
      <w:r>
        <w:t>Three voltages were recorded on LSC diode S1300528 in hopes of understanding the effect of high optical levels on the LSC detector components.  Referring to the diagram below, the bias voltage, the voltage at the photodetector anode, and the output voltage</w:t>
      </w:r>
      <w:r w:rsidR="00C076C4">
        <w:t xml:space="preserve"> of the transimpedance amplifier</w:t>
      </w:r>
      <w:r>
        <w:t xml:space="preserve"> were recorded.  The diode retaining ring</w:t>
      </w:r>
      <w:r w:rsidR="008708A9">
        <w:t xml:space="preserve"> (</w:t>
      </w:r>
      <w:r>
        <w:t xml:space="preserve">used to </w:t>
      </w:r>
      <w:r w:rsidR="00C076C4">
        <w:t xml:space="preserve">hold the diode element in place and to </w:t>
      </w:r>
      <w:r>
        <w:t xml:space="preserve">ensure </w:t>
      </w:r>
      <w:r w:rsidR="008708A9">
        <w:t>good thermal coupling to the detector body) temperature was also measured by use of a non-contact thermal probe.</w:t>
      </w:r>
    </w:p>
    <w:p w:rsidR="00D13520" w:rsidRDefault="00D13520" w:rsidP="00686384">
      <w:pPr>
        <w:ind w:firstLine="720"/>
      </w:pPr>
    </w:p>
    <w:p w:rsidR="008708A9" w:rsidRDefault="008708A9" w:rsidP="008708A9">
      <w:pPr>
        <w:keepNext/>
        <w:ind w:firstLine="720"/>
        <w:jc w:val="center"/>
      </w:pPr>
      <w:r>
        <w:object w:dxaOrig="4192" w:dyaOrig="2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pt;height:167.7pt" o:ole="">
            <v:imagedata r:id="rId8" o:title=""/>
          </v:shape>
          <o:OLEObject Type="Embed" ProgID="Visio.Drawing.11" ShapeID="_x0000_i1025" DrawAspect="Content" ObjectID="_1452694387" r:id="rId9"/>
        </w:object>
      </w:r>
    </w:p>
    <w:p w:rsidR="00D13520" w:rsidRDefault="008708A9" w:rsidP="008708A9">
      <w:pPr>
        <w:pStyle w:val="Caption"/>
        <w:jc w:val="center"/>
      </w:pPr>
      <w:r>
        <w:t xml:space="preserve">Figure </w:t>
      </w:r>
      <w:r>
        <w:fldChar w:fldCharType="begin"/>
      </w:r>
      <w:r>
        <w:instrText xml:space="preserve"> SEQ Figure \* ARABIC </w:instrText>
      </w:r>
      <w:r>
        <w:fldChar w:fldCharType="separate"/>
      </w:r>
      <w:r w:rsidR="008D6B21">
        <w:rPr>
          <w:noProof/>
        </w:rPr>
        <w:t>1</w:t>
      </w:r>
      <w:r>
        <w:fldChar w:fldCharType="end"/>
      </w:r>
    </w:p>
    <w:p w:rsidR="008708A9" w:rsidRDefault="008708A9" w:rsidP="008708A9"/>
    <w:p w:rsidR="008708A9" w:rsidRDefault="008708A9" w:rsidP="008708A9">
      <w:pPr>
        <w:keepNext/>
        <w:jc w:val="center"/>
      </w:pPr>
      <w:r>
        <w:rPr>
          <w:noProof/>
        </w:rPr>
        <w:lastRenderedPageBreak/>
        <w:drawing>
          <wp:inline distT="0" distB="0" distL="0" distR="0" wp14:anchorId="0264B045" wp14:editId="6BCAF38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8A9" w:rsidRDefault="008708A9" w:rsidP="008708A9">
      <w:pPr>
        <w:pStyle w:val="Caption"/>
        <w:jc w:val="center"/>
      </w:pPr>
      <w:r>
        <w:t xml:space="preserve">Figure </w:t>
      </w:r>
      <w:r>
        <w:fldChar w:fldCharType="begin"/>
      </w:r>
      <w:r>
        <w:instrText xml:space="preserve"> SEQ Figure \* ARABIC </w:instrText>
      </w:r>
      <w:r>
        <w:fldChar w:fldCharType="separate"/>
      </w:r>
      <w:r w:rsidR="008D6B21">
        <w:rPr>
          <w:noProof/>
        </w:rPr>
        <w:t>2</w:t>
      </w:r>
      <w:r>
        <w:fldChar w:fldCharType="end"/>
      </w:r>
    </w:p>
    <w:p w:rsidR="008708A9" w:rsidRDefault="008708A9" w:rsidP="008708A9">
      <w:pPr>
        <w:jc w:val="center"/>
      </w:pPr>
    </w:p>
    <w:p w:rsidR="008708A9" w:rsidRDefault="008708A9" w:rsidP="008708A9">
      <w:pPr>
        <w:jc w:val="center"/>
      </w:pPr>
    </w:p>
    <w:p w:rsidR="008708A9" w:rsidRDefault="008708A9" w:rsidP="008708A9">
      <w:pPr>
        <w:jc w:val="center"/>
      </w:pPr>
    </w:p>
    <w:p w:rsidR="00BB3F83" w:rsidRDefault="008708A9" w:rsidP="00BB3F83">
      <w:pPr>
        <w:keepNext/>
        <w:jc w:val="center"/>
      </w:pPr>
      <w:r>
        <w:rPr>
          <w:noProof/>
        </w:rPr>
        <w:drawing>
          <wp:inline distT="0" distB="0" distL="0" distR="0" wp14:anchorId="57B4B1FC" wp14:editId="4A1CECC9">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08A9" w:rsidRDefault="008708A9" w:rsidP="008708A9">
      <w:pPr>
        <w:pStyle w:val="Caption"/>
        <w:jc w:val="center"/>
      </w:pPr>
      <w:r>
        <w:t xml:space="preserve">Figure </w:t>
      </w:r>
      <w:r>
        <w:fldChar w:fldCharType="begin"/>
      </w:r>
      <w:r>
        <w:instrText xml:space="preserve"> SEQ Figure \* ARABIC </w:instrText>
      </w:r>
      <w:r>
        <w:fldChar w:fldCharType="separate"/>
      </w:r>
      <w:r w:rsidR="008D6B21">
        <w:rPr>
          <w:noProof/>
        </w:rPr>
        <w:t>3</w:t>
      </w:r>
      <w:r>
        <w:fldChar w:fldCharType="end"/>
      </w:r>
    </w:p>
    <w:p w:rsidR="00BB3F83" w:rsidRDefault="00BB3F83" w:rsidP="00BB3F83"/>
    <w:p w:rsidR="00BB3F83" w:rsidRDefault="00BB3F83">
      <w:r>
        <w:br w:type="page"/>
      </w:r>
    </w:p>
    <w:p w:rsidR="00BB3F83" w:rsidRPr="00BB3F83" w:rsidRDefault="002B275C" w:rsidP="00BB3F83">
      <w:pPr>
        <w:pStyle w:val="ListParagraph"/>
        <w:numPr>
          <w:ilvl w:val="0"/>
          <w:numId w:val="32"/>
        </w:numPr>
      </w:pPr>
      <w:r>
        <w:rPr>
          <w:b/>
        </w:rPr>
        <w:lastRenderedPageBreak/>
        <w:t xml:space="preserve">LSC Detector </w:t>
      </w:r>
      <w:r w:rsidR="00BB3F83">
        <w:rPr>
          <w:b/>
        </w:rPr>
        <w:t>Raw Data</w:t>
      </w:r>
    </w:p>
    <w:p w:rsidR="008708A9" w:rsidRDefault="008708A9" w:rsidP="00D13520">
      <w:pPr>
        <w:ind w:firstLine="720"/>
        <w:jc w:val="center"/>
      </w:pPr>
    </w:p>
    <w:tbl>
      <w:tblPr>
        <w:tblW w:w="6060" w:type="dxa"/>
        <w:jc w:val="center"/>
        <w:tblLook w:val="04A0" w:firstRow="1" w:lastRow="0" w:firstColumn="1" w:lastColumn="0" w:noHBand="0" w:noVBand="1"/>
      </w:tblPr>
      <w:tblGrid>
        <w:gridCol w:w="1480"/>
        <w:gridCol w:w="1500"/>
        <w:gridCol w:w="1240"/>
        <w:gridCol w:w="920"/>
        <w:gridCol w:w="960"/>
      </w:tblGrid>
      <w:tr w:rsidR="00BB3F83" w:rsidTr="00BB3F83">
        <w:trPr>
          <w:cantSplit/>
          <w:trHeight w:val="600"/>
          <w:jc w:val="center"/>
        </w:trPr>
        <w:tc>
          <w:tcPr>
            <w:tcW w:w="1480" w:type="dxa"/>
            <w:tcBorders>
              <w:top w:val="nil"/>
              <w:left w:val="nil"/>
              <w:bottom w:val="single" w:sz="4" w:space="0" w:color="auto"/>
              <w:right w:val="single" w:sz="4" w:space="0" w:color="auto"/>
            </w:tcBorders>
            <w:shd w:val="clear" w:color="auto" w:fill="auto"/>
            <w:vAlign w:val="center"/>
            <w:hideMark/>
          </w:tcPr>
          <w:p w:rsidR="00BB3F83" w:rsidRDefault="00BB3F83">
            <w:pPr>
              <w:jc w:val="center"/>
              <w:rPr>
                <w:rFonts w:ascii="Calibri" w:hAnsi="Calibri"/>
                <w:b/>
                <w:bCs/>
                <w:color w:val="000000"/>
                <w:sz w:val="22"/>
                <w:szCs w:val="22"/>
              </w:rPr>
            </w:pPr>
            <w:r>
              <w:rPr>
                <w:rFonts w:ascii="Calibri" w:hAnsi="Calibri"/>
                <w:b/>
                <w:bCs/>
                <w:color w:val="000000"/>
                <w:sz w:val="22"/>
                <w:szCs w:val="22"/>
              </w:rPr>
              <w:t>Optical Power Input (mW)</w:t>
            </w:r>
          </w:p>
        </w:tc>
        <w:tc>
          <w:tcPr>
            <w:tcW w:w="1500" w:type="dxa"/>
            <w:tcBorders>
              <w:top w:val="nil"/>
              <w:left w:val="nil"/>
              <w:bottom w:val="single" w:sz="4" w:space="0" w:color="auto"/>
              <w:right w:val="single" w:sz="4" w:space="0" w:color="auto"/>
            </w:tcBorders>
            <w:shd w:val="clear" w:color="auto" w:fill="auto"/>
            <w:vAlign w:val="bottom"/>
            <w:hideMark/>
          </w:tcPr>
          <w:p w:rsidR="00BB3F83" w:rsidRDefault="00BB3F83">
            <w:pPr>
              <w:jc w:val="center"/>
              <w:rPr>
                <w:rFonts w:ascii="Calibri" w:hAnsi="Calibri"/>
                <w:b/>
                <w:bCs/>
                <w:color w:val="000000"/>
                <w:sz w:val="22"/>
                <w:szCs w:val="22"/>
              </w:rPr>
            </w:pPr>
            <w:r>
              <w:rPr>
                <w:rFonts w:ascii="Calibri" w:hAnsi="Calibri"/>
                <w:b/>
                <w:bCs/>
                <w:color w:val="000000"/>
                <w:sz w:val="22"/>
                <w:szCs w:val="22"/>
              </w:rPr>
              <w:t>Voltage at BNC (100V/A)</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b/>
                <w:bCs/>
                <w:color w:val="000000"/>
                <w:sz w:val="22"/>
                <w:szCs w:val="22"/>
              </w:rPr>
            </w:pPr>
            <w:r>
              <w:rPr>
                <w:rFonts w:ascii="Calibri" w:hAnsi="Calibri"/>
                <w:b/>
                <w:bCs/>
                <w:color w:val="000000"/>
                <w:sz w:val="22"/>
                <w:szCs w:val="22"/>
              </w:rPr>
              <w:t>Vbias (V)</w:t>
            </w:r>
          </w:p>
        </w:tc>
        <w:tc>
          <w:tcPr>
            <w:tcW w:w="880" w:type="dxa"/>
            <w:tcBorders>
              <w:top w:val="nil"/>
              <w:left w:val="nil"/>
              <w:bottom w:val="single" w:sz="4" w:space="0" w:color="auto"/>
              <w:right w:val="single" w:sz="4" w:space="0" w:color="auto"/>
            </w:tcBorders>
            <w:shd w:val="clear" w:color="auto" w:fill="auto"/>
            <w:vAlign w:val="center"/>
            <w:hideMark/>
          </w:tcPr>
          <w:p w:rsidR="00BB3F83" w:rsidRDefault="00BB3F83">
            <w:pPr>
              <w:jc w:val="center"/>
              <w:rPr>
                <w:rFonts w:ascii="Calibri" w:hAnsi="Calibri"/>
                <w:b/>
                <w:bCs/>
                <w:color w:val="000000"/>
                <w:sz w:val="22"/>
                <w:szCs w:val="22"/>
              </w:rPr>
            </w:pPr>
            <w:r>
              <w:rPr>
                <w:rFonts w:ascii="Calibri" w:hAnsi="Calibri"/>
                <w:b/>
                <w:bCs/>
                <w:color w:val="000000"/>
                <w:sz w:val="22"/>
                <w:szCs w:val="22"/>
              </w:rPr>
              <w:t>Vanode (mV)</w:t>
            </w:r>
          </w:p>
        </w:tc>
        <w:tc>
          <w:tcPr>
            <w:tcW w:w="960" w:type="dxa"/>
            <w:tcBorders>
              <w:top w:val="nil"/>
              <w:left w:val="nil"/>
              <w:bottom w:val="single" w:sz="4" w:space="0" w:color="auto"/>
              <w:right w:val="nil"/>
            </w:tcBorders>
            <w:shd w:val="clear" w:color="auto" w:fill="auto"/>
            <w:vAlign w:val="center"/>
            <w:hideMark/>
          </w:tcPr>
          <w:p w:rsidR="00BB3F83" w:rsidRDefault="00BB3F83">
            <w:pPr>
              <w:jc w:val="center"/>
              <w:rPr>
                <w:rFonts w:ascii="Calibri" w:hAnsi="Calibri"/>
                <w:b/>
                <w:bCs/>
                <w:color w:val="000000"/>
                <w:sz w:val="22"/>
                <w:szCs w:val="22"/>
              </w:rPr>
            </w:pPr>
            <w:r>
              <w:rPr>
                <w:rFonts w:ascii="Calibri" w:hAnsi="Calibri"/>
                <w:b/>
                <w:bCs/>
                <w:color w:val="000000"/>
                <w:sz w:val="22"/>
                <w:szCs w:val="22"/>
              </w:rPr>
              <w:t>Vanode (V)</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0.5</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0.045</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-93</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-0.093</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10.2</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0.734</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-20</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-0.02</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20.8</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1.51</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55</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0.055</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29.4</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2.04</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5.03</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125</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0.125</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51.3</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3.65</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265</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0.265</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72.3</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5.17</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5.01</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410</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0.41</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100</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7.2</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567</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0.567</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138</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9.89</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807</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0.807</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166</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12</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989</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0.989</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209</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12.8</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5.03</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1100</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1.1</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299</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12.8</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5.03</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1730</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1.73</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499</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12.9</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5.01</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2400</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2.4</w:t>
            </w:r>
          </w:p>
        </w:tc>
      </w:tr>
      <w:tr w:rsidR="00BB3F83" w:rsidTr="00BB3F83">
        <w:trPr>
          <w:cantSplit/>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714</w:t>
            </w:r>
          </w:p>
        </w:tc>
        <w:tc>
          <w:tcPr>
            <w:tcW w:w="150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12.8</w:t>
            </w:r>
          </w:p>
        </w:tc>
        <w:tc>
          <w:tcPr>
            <w:tcW w:w="124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2710</w:t>
            </w:r>
          </w:p>
        </w:tc>
        <w:tc>
          <w:tcPr>
            <w:tcW w:w="960" w:type="dxa"/>
            <w:tcBorders>
              <w:top w:val="nil"/>
              <w:left w:val="nil"/>
              <w:bottom w:val="single" w:sz="4" w:space="0" w:color="auto"/>
              <w:right w:val="nil"/>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2.71</w:t>
            </w:r>
          </w:p>
        </w:tc>
      </w:tr>
      <w:tr w:rsidR="00BB3F83" w:rsidTr="00BB3F83">
        <w:trPr>
          <w:cantSplit/>
          <w:trHeight w:val="300"/>
          <w:jc w:val="center"/>
        </w:trPr>
        <w:tc>
          <w:tcPr>
            <w:tcW w:w="1480" w:type="dxa"/>
            <w:tcBorders>
              <w:top w:val="nil"/>
              <w:left w:val="nil"/>
              <w:bottom w:val="nil"/>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1010</w:t>
            </w:r>
          </w:p>
        </w:tc>
        <w:tc>
          <w:tcPr>
            <w:tcW w:w="1500" w:type="dxa"/>
            <w:tcBorders>
              <w:top w:val="nil"/>
              <w:left w:val="nil"/>
              <w:bottom w:val="nil"/>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12.9</w:t>
            </w:r>
          </w:p>
        </w:tc>
        <w:tc>
          <w:tcPr>
            <w:tcW w:w="1240" w:type="dxa"/>
            <w:tcBorders>
              <w:top w:val="nil"/>
              <w:left w:val="nil"/>
              <w:bottom w:val="nil"/>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5.04</w:t>
            </w:r>
          </w:p>
        </w:tc>
        <w:tc>
          <w:tcPr>
            <w:tcW w:w="880" w:type="dxa"/>
            <w:tcBorders>
              <w:top w:val="nil"/>
              <w:left w:val="nil"/>
              <w:bottom w:val="nil"/>
              <w:right w:val="single" w:sz="4" w:space="0" w:color="auto"/>
            </w:tcBorders>
            <w:shd w:val="clear" w:color="auto" w:fill="auto"/>
            <w:noWrap/>
            <w:vAlign w:val="center"/>
            <w:hideMark/>
          </w:tcPr>
          <w:p w:rsidR="00BB3F83" w:rsidRDefault="00BB3F83">
            <w:pPr>
              <w:jc w:val="center"/>
              <w:rPr>
                <w:rFonts w:ascii="Calibri" w:hAnsi="Calibri"/>
                <w:color w:val="000000"/>
                <w:sz w:val="22"/>
                <w:szCs w:val="22"/>
              </w:rPr>
            </w:pPr>
            <w:r>
              <w:rPr>
                <w:rFonts w:ascii="Calibri" w:hAnsi="Calibri"/>
                <w:color w:val="000000"/>
                <w:sz w:val="22"/>
                <w:szCs w:val="22"/>
              </w:rPr>
              <w:t>2900</w:t>
            </w:r>
          </w:p>
        </w:tc>
        <w:tc>
          <w:tcPr>
            <w:tcW w:w="960" w:type="dxa"/>
            <w:tcBorders>
              <w:top w:val="nil"/>
              <w:left w:val="nil"/>
              <w:bottom w:val="nil"/>
              <w:right w:val="nil"/>
            </w:tcBorders>
            <w:shd w:val="clear" w:color="auto" w:fill="auto"/>
            <w:noWrap/>
            <w:vAlign w:val="center"/>
            <w:hideMark/>
          </w:tcPr>
          <w:p w:rsidR="00BB3F83" w:rsidRDefault="00BB3F83" w:rsidP="00BB3F83">
            <w:pPr>
              <w:keepNext/>
              <w:jc w:val="center"/>
              <w:rPr>
                <w:rFonts w:ascii="Calibri" w:hAnsi="Calibri"/>
                <w:color w:val="000000"/>
                <w:sz w:val="22"/>
                <w:szCs w:val="22"/>
              </w:rPr>
            </w:pPr>
            <w:r>
              <w:rPr>
                <w:rFonts w:ascii="Calibri" w:hAnsi="Calibri"/>
                <w:color w:val="000000"/>
                <w:sz w:val="22"/>
                <w:szCs w:val="22"/>
              </w:rPr>
              <w:t>2.9</w:t>
            </w:r>
          </w:p>
        </w:tc>
      </w:tr>
    </w:tbl>
    <w:p w:rsidR="00C076C4" w:rsidRDefault="00C076C4" w:rsidP="00BB3F83">
      <w:pPr>
        <w:pStyle w:val="Caption"/>
        <w:jc w:val="center"/>
      </w:pPr>
    </w:p>
    <w:p w:rsidR="008708A9" w:rsidRDefault="00BB3F83" w:rsidP="00BB3F83">
      <w:pPr>
        <w:pStyle w:val="Caption"/>
        <w:jc w:val="center"/>
      </w:pPr>
      <w:r>
        <w:t xml:space="preserve">Table </w:t>
      </w:r>
      <w:r>
        <w:fldChar w:fldCharType="begin"/>
      </w:r>
      <w:r>
        <w:instrText xml:space="preserve"> SEQ Table \* ARABIC </w:instrText>
      </w:r>
      <w:r>
        <w:fldChar w:fldCharType="separate"/>
      </w:r>
      <w:r w:rsidR="002B275C">
        <w:rPr>
          <w:noProof/>
        </w:rPr>
        <w:t>1</w:t>
      </w:r>
      <w:r>
        <w:fldChar w:fldCharType="end"/>
      </w:r>
    </w:p>
    <w:p w:rsidR="002B275C" w:rsidRDefault="002B275C" w:rsidP="002B275C"/>
    <w:p w:rsidR="002B275C" w:rsidRPr="002B275C" w:rsidRDefault="002B275C" w:rsidP="002B275C">
      <w:pPr>
        <w:pStyle w:val="ListParagraph"/>
        <w:numPr>
          <w:ilvl w:val="0"/>
          <w:numId w:val="32"/>
        </w:numPr>
        <w:rPr>
          <w:b/>
        </w:rPr>
      </w:pPr>
      <w:r w:rsidRPr="002B275C">
        <w:rPr>
          <w:b/>
        </w:rPr>
        <w:t>WFS Detector Results</w:t>
      </w:r>
    </w:p>
    <w:p w:rsidR="002B275C" w:rsidRDefault="002B275C" w:rsidP="002B275C">
      <w:pPr>
        <w:ind w:firstLine="720"/>
      </w:pPr>
      <w:r>
        <w:t>Similar to the LSC detector, the aLIGO WFS was also exposed to optical power levels up to 1 watt at 1064 nm</w:t>
      </w:r>
    </w:p>
    <w:p w:rsidR="002B275C" w:rsidRDefault="002B275C" w:rsidP="002B275C">
      <w:pPr>
        <w:ind w:firstLine="720"/>
      </w:pPr>
    </w:p>
    <w:p w:rsidR="002B275C" w:rsidRDefault="002B275C" w:rsidP="002B275C">
      <w:pPr>
        <w:keepNext/>
        <w:ind w:firstLine="720"/>
        <w:jc w:val="center"/>
      </w:pPr>
      <w:r>
        <w:rPr>
          <w:noProof/>
        </w:rPr>
        <w:drawing>
          <wp:inline distT="0" distB="0" distL="0" distR="0" wp14:anchorId="3C0172EF" wp14:editId="1EA306F4">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275C" w:rsidRDefault="002B275C" w:rsidP="002B275C">
      <w:pPr>
        <w:pStyle w:val="Caption"/>
        <w:jc w:val="center"/>
      </w:pPr>
      <w:r>
        <w:t xml:space="preserve">Figure </w:t>
      </w:r>
      <w:r>
        <w:fldChar w:fldCharType="begin"/>
      </w:r>
      <w:r>
        <w:instrText xml:space="preserve"> SEQ Figure \* ARABIC </w:instrText>
      </w:r>
      <w:r>
        <w:fldChar w:fldCharType="separate"/>
      </w:r>
      <w:r w:rsidR="008D6B21">
        <w:rPr>
          <w:noProof/>
        </w:rPr>
        <w:t>4</w:t>
      </w:r>
      <w:r>
        <w:fldChar w:fldCharType="end"/>
      </w:r>
    </w:p>
    <w:p w:rsidR="002B275C" w:rsidRDefault="002B275C" w:rsidP="002B275C">
      <w:pPr>
        <w:jc w:val="center"/>
      </w:pPr>
    </w:p>
    <w:p w:rsidR="002B275C" w:rsidRDefault="002B275C" w:rsidP="002B275C">
      <w:pPr>
        <w:keepNext/>
        <w:jc w:val="center"/>
      </w:pPr>
      <w:r>
        <w:rPr>
          <w:noProof/>
        </w:rPr>
        <w:lastRenderedPageBreak/>
        <w:drawing>
          <wp:inline distT="0" distB="0" distL="0" distR="0" wp14:anchorId="15C35265" wp14:editId="013CA2F2">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275C" w:rsidRDefault="002B275C" w:rsidP="002B275C">
      <w:pPr>
        <w:pStyle w:val="Caption"/>
        <w:jc w:val="center"/>
      </w:pPr>
      <w:r>
        <w:t xml:space="preserve">Figure </w:t>
      </w:r>
      <w:r>
        <w:fldChar w:fldCharType="begin"/>
      </w:r>
      <w:r>
        <w:instrText xml:space="preserve"> SEQ Figure \* ARABIC </w:instrText>
      </w:r>
      <w:r>
        <w:fldChar w:fldCharType="separate"/>
      </w:r>
      <w:r w:rsidR="008D6B21">
        <w:rPr>
          <w:noProof/>
        </w:rPr>
        <w:t>5</w:t>
      </w:r>
      <w:r>
        <w:fldChar w:fldCharType="end"/>
      </w:r>
    </w:p>
    <w:p w:rsidR="002B275C" w:rsidRDefault="002B275C" w:rsidP="002B275C"/>
    <w:p w:rsidR="008D6B21" w:rsidRDefault="002B275C" w:rsidP="008D6B21">
      <w:pPr>
        <w:keepNext/>
        <w:jc w:val="center"/>
      </w:pPr>
      <w:r>
        <w:rPr>
          <w:noProof/>
        </w:rPr>
        <w:drawing>
          <wp:inline distT="0" distB="0" distL="0" distR="0" wp14:anchorId="303F66A0" wp14:editId="0B50D3F5">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275C" w:rsidRDefault="008D6B21" w:rsidP="008D6B21">
      <w:pPr>
        <w:pStyle w:val="Caption"/>
        <w:jc w:val="center"/>
        <w:rPr>
          <w:b w:val="0"/>
        </w:rPr>
      </w:pPr>
      <w:r>
        <w:t xml:space="preserve">Figure </w:t>
      </w:r>
      <w:r>
        <w:fldChar w:fldCharType="begin"/>
      </w:r>
      <w:r>
        <w:instrText xml:space="preserve"> SEQ Figure \* ARABIC </w:instrText>
      </w:r>
      <w:r>
        <w:fldChar w:fldCharType="separate"/>
      </w:r>
      <w:r>
        <w:rPr>
          <w:noProof/>
        </w:rPr>
        <w:t>6</w:t>
      </w:r>
      <w:r>
        <w:fldChar w:fldCharType="end"/>
      </w:r>
      <w:r>
        <w:t xml:space="preserve"> </w:t>
      </w:r>
      <w:r>
        <w:rPr>
          <w:b w:val="0"/>
        </w:rPr>
        <w:t>Diode retaining ring temperature vs time.</w:t>
      </w:r>
    </w:p>
    <w:p w:rsidR="008D6B21" w:rsidRDefault="008D6B21">
      <w:r>
        <w:br w:type="page"/>
      </w:r>
    </w:p>
    <w:p w:rsidR="008D6B21" w:rsidRPr="008D6B21" w:rsidRDefault="008D6B21" w:rsidP="008D6B21"/>
    <w:p w:rsidR="002B275C" w:rsidRDefault="002B275C" w:rsidP="002B275C"/>
    <w:p w:rsidR="002B275C" w:rsidRPr="002B275C" w:rsidRDefault="002B275C" w:rsidP="002B275C">
      <w:pPr>
        <w:pStyle w:val="ListParagraph"/>
        <w:numPr>
          <w:ilvl w:val="0"/>
          <w:numId w:val="32"/>
        </w:numPr>
      </w:pPr>
      <w:r>
        <w:rPr>
          <w:b/>
        </w:rPr>
        <w:t>WFS Detector Raw Data</w:t>
      </w:r>
    </w:p>
    <w:p w:rsidR="002B275C" w:rsidRDefault="002B275C" w:rsidP="002B275C">
      <w:pPr>
        <w:jc w:val="center"/>
      </w:pPr>
    </w:p>
    <w:tbl>
      <w:tblPr>
        <w:tblW w:w="6060" w:type="dxa"/>
        <w:jc w:val="center"/>
        <w:tblInd w:w="93" w:type="dxa"/>
        <w:tblLook w:val="04A0" w:firstRow="1" w:lastRow="0" w:firstColumn="1" w:lastColumn="0" w:noHBand="0" w:noVBand="1"/>
      </w:tblPr>
      <w:tblGrid>
        <w:gridCol w:w="1480"/>
        <w:gridCol w:w="1500"/>
        <w:gridCol w:w="1240"/>
        <w:gridCol w:w="920"/>
        <w:gridCol w:w="960"/>
      </w:tblGrid>
      <w:tr w:rsidR="002B275C" w:rsidTr="002B275C">
        <w:trPr>
          <w:trHeight w:val="600"/>
          <w:jc w:val="center"/>
        </w:trPr>
        <w:tc>
          <w:tcPr>
            <w:tcW w:w="1480" w:type="dxa"/>
            <w:tcBorders>
              <w:top w:val="nil"/>
              <w:left w:val="nil"/>
              <w:bottom w:val="single" w:sz="4" w:space="0" w:color="auto"/>
              <w:right w:val="single" w:sz="4" w:space="0" w:color="auto"/>
            </w:tcBorders>
            <w:shd w:val="clear" w:color="auto" w:fill="auto"/>
            <w:vAlign w:val="center"/>
            <w:hideMark/>
          </w:tcPr>
          <w:p w:rsidR="002B275C" w:rsidRDefault="002B275C">
            <w:pPr>
              <w:jc w:val="center"/>
              <w:rPr>
                <w:rFonts w:ascii="Calibri" w:hAnsi="Calibri"/>
                <w:b/>
                <w:bCs/>
                <w:color w:val="000000"/>
                <w:sz w:val="22"/>
                <w:szCs w:val="22"/>
              </w:rPr>
            </w:pPr>
            <w:r>
              <w:rPr>
                <w:rFonts w:ascii="Calibri" w:hAnsi="Calibri"/>
                <w:b/>
                <w:bCs/>
                <w:color w:val="000000"/>
                <w:sz w:val="22"/>
                <w:szCs w:val="22"/>
              </w:rPr>
              <w:t>Optical Power Input (mW)</w:t>
            </w:r>
          </w:p>
        </w:tc>
        <w:tc>
          <w:tcPr>
            <w:tcW w:w="1500" w:type="dxa"/>
            <w:tcBorders>
              <w:top w:val="nil"/>
              <w:left w:val="nil"/>
              <w:bottom w:val="single" w:sz="4" w:space="0" w:color="auto"/>
              <w:right w:val="single" w:sz="4" w:space="0" w:color="auto"/>
            </w:tcBorders>
            <w:shd w:val="clear" w:color="auto" w:fill="auto"/>
            <w:vAlign w:val="bottom"/>
            <w:hideMark/>
          </w:tcPr>
          <w:p w:rsidR="002B275C" w:rsidRDefault="002B275C">
            <w:pPr>
              <w:jc w:val="center"/>
              <w:rPr>
                <w:rFonts w:ascii="Calibri" w:hAnsi="Calibri"/>
                <w:b/>
                <w:bCs/>
                <w:color w:val="000000"/>
                <w:sz w:val="22"/>
                <w:szCs w:val="22"/>
              </w:rPr>
            </w:pPr>
            <w:r>
              <w:rPr>
                <w:rFonts w:ascii="Calibri" w:hAnsi="Calibri"/>
                <w:b/>
                <w:bCs/>
                <w:color w:val="000000"/>
                <w:sz w:val="22"/>
                <w:szCs w:val="22"/>
              </w:rPr>
              <w:t>Voltage at TP1 (499V/A)</w:t>
            </w:r>
          </w:p>
        </w:tc>
        <w:tc>
          <w:tcPr>
            <w:tcW w:w="1240" w:type="dxa"/>
            <w:tcBorders>
              <w:top w:val="nil"/>
              <w:left w:val="nil"/>
              <w:bottom w:val="single" w:sz="4" w:space="0" w:color="auto"/>
              <w:right w:val="single" w:sz="4" w:space="0" w:color="auto"/>
            </w:tcBorders>
            <w:shd w:val="clear" w:color="auto" w:fill="auto"/>
            <w:vAlign w:val="center"/>
            <w:hideMark/>
          </w:tcPr>
          <w:p w:rsidR="002B275C" w:rsidRDefault="002B275C">
            <w:pPr>
              <w:jc w:val="center"/>
              <w:rPr>
                <w:rFonts w:ascii="Calibri" w:hAnsi="Calibri"/>
                <w:b/>
                <w:bCs/>
                <w:color w:val="000000"/>
                <w:sz w:val="22"/>
                <w:szCs w:val="22"/>
              </w:rPr>
            </w:pPr>
            <w:r>
              <w:rPr>
                <w:rFonts w:ascii="Calibri" w:hAnsi="Calibri"/>
                <w:b/>
                <w:bCs/>
                <w:color w:val="000000"/>
                <w:sz w:val="22"/>
                <w:szCs w:val="22"/>
              </w:rPr>
              <w:t>Vbias (V) TP8</w:t>
            </w:r>
          </w:p>
        </w:tc>
        <w:tc>
          <w:tcPr>
            <w:tcW w:w="880" w:type="dxa"/>
            <w:tcBorders>
              <w:top w:val="nil"/>
              <w:left w:val="nil"/>
              <w:bottom w:val="single" w:sz="4" w:space="0" w:color="auto"/>
              <w:right w:val="single" w:sz="4" w:space="0" w:color="auto"/>
            </w:tcBorders>
            <w:shd w:val="clear" w:color="auto" w:fill="auto"/>
            <w:vAlign w:val="center"/>
            <w:hideMark/>
          </w:tcPr>
          <w:p w:rsidR="002B275C" w:rsidRDefault="002B275C">
            <w:pPr>
              <w:jc w:val="center"/>
              <w:rPr>
                <w:rFonts w:ascii="Calibri" w:hAnsi="Calibri"/>
                <w:b/>
                <w:bCs/>
                <w:color w:val="000000"/>
                <w:sz w:val="22"/>
                <w:szCs w:val="22"/>
              </w:rPr>
            </w:pPr>
            <w:r>
              <w:rPr>
                <w:rFonts w:ascii="Calibri" w:hAnsi="Calibri"/>
                <w:b/>
                <w:bCs/>
                <w:color w:val="000000"/>
                <w:sz w:val="22"/>
                <w:szCs w:val="22"/>
              </w:rPr>
              <w:t>Vanode (mV)</w:t>
            </w:r>
          </w:p>
        </w:tc>
        <w:tc>
          <w:tcPr>
            <w:tcW w:w="960" w:type="dxa"/>
            <w:tcBorders>
              <w:top w:val="nil"/>
              <w:left w:val="nil"/>
              <w:bottom w:val="single" w:sz="4" w:space="0" w:color="auto"/>
              <w:right w:val="nil"/>
            </w:tcBorders>
            <w:shd w:val="clear" w:color="auto" w:fill="auto"/>
            <w:vAlign w:val="center"/>
            <w:hideMark/>
          </w:tcPr>
          <w:p w:rsidR="002B275C" w:rsidRDefault="002B275C">
            <w:pPr>
              <w:jc w:val="center"/>
              <w:rPr>
                <w:rFonts w:ascii="Calibri" w:hAnsi="Calibri"/>
                <w:b/>
                <w:bCs/>
                <w:color w:val="000000"/>
                <w:sz w:val="22"/>
                <w:szCs w:val="22"/>
              </w:rPr>
            </w:pPr>
            <w:r>
              <w:rPr>
                <w:rFonts w:ascii="Calibri" w:hAnsi="Calibri"/>
                <w:b/>
                <w:bCs/>
                <w:color w:val="000000"/>
                <w:sz w:val="22"/>
                <w:szCs w:val="22"/>
              </w:rPr>
              <w:t>Vanode (V)</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0.5</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0.27</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-0.006</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2.9</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0.982</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15.9</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0.0159</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8.3</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2.99</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0.05</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14.5</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87</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0.087</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29</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10.1</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173</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0.173</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31</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190</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0.19</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31.6</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11.2</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244</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0.244</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51.3</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11</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1750</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1.75</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102</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11</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1970</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1.97</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205</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11</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2140</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2.14</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305</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2270</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2.27</w:t>
            </w:r>
          </w:p>
        </w:tc>
      </w:tr>
      <w:tr w:rsidR="002B275C" w:rsidTr="002B275C">
        <w:trPr>
          <w:trHeight w:val="300"/>
          <w:jc w:val="center"/>
        </w:trPr>
        <w:tc>
          <w:tcPr>
            <w:tcW w:w="14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150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10.9</w:t>
            </w:r>
          </w:p>
        </w:tc>
        <w:tc>
          <w:tcPr>
            <w:tcW w:w="124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single" w:sz="4" w:space="0" w:color="auto"/>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2420</w:t>
            </w:r>
          </w:p>
        </w:tc>
        <w:tc>
          <w:tcPr>
            <w:tcW w:w="960" w:type="dxa"/>
            <w:tcBorders>
              <w:top w:val="nil"/>
              <w:left w:val="nil"/>
              <w:bottom w:val="single" w:sz="4" w:space="0" w:color="auto"/>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2.42</w:t>
            </w:r>
          </w:p>
        </w:tc>
      </w:tr>
      <w:tr w:rsidR="002B275C" w:rsidTr="002B275C">
        <w:trPr>
          <w:trHeight w:val="300"/>
          <w:jc w:val="center"/>
        </w:trPr>
        <w:tc>
          <w:tcPr>
            <w:tcW w:w="1480" w:type="dxa"/>
            <w:tcBorders>
              <w:top w:val="nil"/>
              <w:left w:val="nil"/>
              <w:bottom w:val="nil"/>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1010</w:t>
            </w:r>
          </w:p>
        </w:tc>
        <w:tc>
          <w:tcPr>
            <w:tcW w:w="1500" w:type="dxa"/>
            <w:tcBorders>
              <w:top w:val="nil"/>
              <w:left w:val="nil"/>
              <w:bottom w:val="nil"/>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10.9</w:t>
            </w:r>
          </w:p>
        </w:tc>
        <w:tc>
          <w:tcPr>
            <w:tcW w:w="1240" w:type="dxa"/>
            <w:tcBorders>
              <w:top w:val="nil"/>
              <w:left w:val="nil"/>
              <w:bottom w:val="nil"/>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5.02</w:t>
            </w:r>
          </w:p>
        </w:tc>
        <w:tc>
          <w:tcPr>
            <w:tcW w:w="880" w:type="dxa"/>
            <w:tcBorders>
              <w:top w:val="nil"/>
              <w:left w:val="nil"/>
              <w:bottom w:val="nil"/>
              <w:right w:val="single" w:sz="4" w:space="0" w:color="auto"/>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2680</w:t>
            </w:r>
          </w:p>
        </w:tc>
        <w:tc>
          <w:tcPr>
            <w:tcW w:w="960" w:type="dxa"/>
            <w:tcBorders>
              <w:top w:val="nil"/>
              <w:left w:val="nil"/>
              <w:bottom w:val="nil"/>
              <w:right w:val="nil"/>
            </w:tcBorders>
            <w:shd w:val="clear" w:color="auto" w:fill="auto"/>
            <w:noWrap/>
            <w:vAlign w:val="center"/>
            <w:hideMark/>
          </w:tcPr>
          <w:p w:rsidR="002B275C" w:rsidRDefault="002B275C">
            <w:pPr>
              <w:jc w:val="center"/>
              <w:rPr>
                <w:rFonts w:ascii="Calibri" w:hAnsi="Calibri"/>
                <w:color w:val="000000"/>
                <w:sz w:val="22"/>
                <w:szCs w:val="22"/>
              </w:rPr>
            </w:pPr>
            <w:r>
              <w:rPr>
                <w:rFonts w:ascii="Calibri" w:hAnsi="Calibri"/>
                <w:color w:val="000000"/>
                <w:sz w:val="22"/>
                <w:szCs w:val="22"/>
              </w:rPr>
              <w:t>2.68</w:t>
            </w:r>
          </w:p>
        </w:tc>
      </w:tr>
    </w:tbl>
    <w:p w:rsidR="002B275C" w:rsidRDefault="002B275C" w:rsidP="002B275C">
      <w:pPr>
        <w:jc w:val="center"/>
      </w:pPr>
    </w:p>
    <w:p w:rsidR="002B275C" w:rsidRPr="002B275C" w:rsidRDefault="002B275C" w:rsidP="002B275C">
      <w:pPr>
        <w:jc w:val="center"/>
      </w:pPr>
    </w:p>
    <w:p w:rsidR="002B275C" w:rsidRDefault="002B275C" w:rsidP="002B275C">
      <w:pPr>
        <w:jc w:val="center"/>
      </w:pPr>
    </w:p>
    <w:p w:rsidR="002B275C" w:rsidRPr="002B275C" w:rsidRDefault="002B275C" w:rsidP="002B275C">
      <w:pPr>
        <w:jc w:val="center"/>
      </w:pPr>
    </w:p>
    <w:p w:rsidR="002B275C" w:rsidRDefault="002B275C" w:rsidP="002B275C">
      <w:pPr>
        <w:ind w:firstLine="720"/>
        <w:jc w:val="center"/>
      </w:pPr>
    </w:p>
    <w:p w:rsidR="002B275C" w:rsidRPr="002B275C" w:rsidRDefault="002B275C" w:rsidP="002B275C">
      <w:pPr>
        <w:ind w:firstLine="720"/>
        <w:jc w:val="center"/>
      </w:pPr>
    </w:p>
    <w:p w:rsidR="00BB3F83" w:rsidRDefault="00BB3F83" w:rsidP="00BB3F83"/>
    <w:p w:rsidR="00BB3F83" w:rsidRPr="00BB3F83" w:rsidRDefault="00BB3F83" w:rsidP="00BB3F83">
      <w:pPr>
        <w:pStyle w:val="ListParagraph"/>
        <w:numPr>
          <w:ilvl w:val="0"/>
          <w:numId w:val="32"/>
        </w:numPr>
      </w:pPr>
      <w:r>
        <w:rPr>
          <w:b/>
        </w:rPr>
        <w:t>Conclusion</w:t>
      </w:r>
    </w:p>
    <w:p w:rsidR="00BB3F83" w:rsidRDefault="00BB3F83" w:rsidP="00BB3F83">
      <w:pPr>
        <w:ind w:firstLine="720"/>
      </w:pPr>
      <w:r>
        <w:t>The RFPD element</w:t>
      </w:r>
      <w:r w:rsidR="002B275C">
        <w:t xml:space="preserve"> of both and LSC and WFS style RFPD</w:t>
      </w:r>
      <w:r>
        <w:t xml:space="preserve"> was exposed to 1 watt of optical power for a period of 15 minutes</w:t>
      </w:r>
      <w:r w:rsidR="008D6B21">
        <w:t xml:space="preserve"> each</w:t>
      </w:r>
      <w:r>
        <w:t xml:space="preserve">.  The temperature of the retaining ring increased by </w:t>
      </w:r>
      <w:r w:rsidR="008D6B21">
        <w:t>less than</w:t>
      </w:r>
      <w:r>
        <w:t xml:space="preserve"> 10 degrees C</w:t>
      </w:r>
      <w:r w:rsidR="008D6B21">
        <w:t xml:space="preserve"> for both units.</w:t>
      </w:r>
      <w:r>
        <w:t xml:space="preserve">  The thermal resistance of the diode element to case </w:t>
      </w:r>
      <w:r w:rsidR="002B275C">
        <w:t xml:space="preserve">for the LSC diode </w:t>
      </w:r>
      <w:r>
        <w:t>is 20 C/W.</w:t>
      </w:r>
      <w:r w:rsidR="00BB40BF">
        <w:t xml:space="preserve">  After the test was concluded, a visual inspection of the diode element</w:t>
      </w:r>
      <w:r w:rsidR="008D6B21">
        <w:t>s</w:t>
      </w:r>
      <w:r w:rsidR="00BB40BF">
        <w:t xml:space="preserve"> did not reveal any damage.</w:t>
      </w:r>
    </w:p>
    <w:p w:rsidR="00C076C4" w:rsidRPr="00BB3F83" w:rsidRDefault="00C076C4" w:rsidP="00BB3F83">
      <w:pPr>
        <w:ind w:firstLine="720"/>
      </w:pPr>
      <w:r>
        <w:t>The DC photocurrent read-back circuitry saturated at approximately 200mW</w:t>
      </w:r>
      <w:r w:rsidR="002B275C">
        <w:t xml:space="preserve"> for the LSC detector and 32mW for the WFS detector</w:t>
      </w:r>
      <w:r>
        <w:t xml:space="preserve"> of incident light, but no lasting effects were noted in the circuit response</w:t>
      </w:r>
      <w:r w:rsidR="002B275C">
        <w:t xml:space="preserve"> or dark noise</w:t>
      </w:r>
      <w:r>
        <w:t>.</w:t>
      </w:r>
    </w:p>
    <w:sectPr w:rsidR="00C076C4" w:rsidRPr="00BB3F83" w:rsidSect="00E1338E">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48" w:rsidRDefault="00CF5348" w:rsidP="0091157D">
      <w:r>
        <w:separator/>
      </w:r>
    </w:p>
  </w:endnote>
  <w:endnote w:type="continuationSeparator" w:id="0">
    <w:p w:rsidR="00CF5348" w:rsidRDefault="00CF5348" w:rsidP="0091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48" w:rsidRDefault="00CF5348" w:rsidP="0091157D">
      <w:r>
        <w:separator/>
      </w:r>
    </w:p>
  </w:footnote>
  <w:footnote w:type="continuationSeparator" w:id="0">
    <w:p w:rsidR="00CF5348" w:rsidRDefault="00CF5348" w:rsidP="0091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E0" w:rsidRDefault="003465E0">
    <w:pPr>
      <w:pStyle w:val="Header"/>
      <w:jc w:val="right"/>
    </w:pPr>
    <w:r>
      <w:t xml:space="preserve">LIGO </w:t>
    </w:r>
    <w:r w:rsidR="00BB40BF">
      <w:t>T1400034</w:t>
    </w:r>
    <w:r w:rsidR="00213577">
      <w:t>-v</w:t>
    </w:r>
    <w:r w:rsidR="008D6B21">
      <w:t>2</w:t>
    </w:r>
    <w:r w:rsidR="00CC2EE0">
      <w:t xml:space="preserve">, Page </w:t>
    </w:r>
    <w:r w:rsidR="00CF5348">
      <w:fldChar w:fldCharType="begin"/>
    </w:r>
    <w:r w:rsidR="00CF5348">
      <w:instrText xml:space="preserve"> PAGE   \* ME</w:instrText>
    </w:r>
    <w:r w:rsidR="00CF5348">
      <w:instrText xml:space="preserve">RGEFORMAT </w:instrText>
    </w:r>
    <w:r w:rsidR="00CF5348">
      <w:fldChar w:fldCharType="separate"/>
    </w:r>
    <w:r w:rsidR="008D6B21">
      <w:rPr>
        <w:noProof/>
      </w:rPr>
      <w:t>2</w:t>
    </w:r>
    <w:r w:rsidR="00CF5348">
      <w:rPr>
        <w:noProof/>
      </w:rPr>
      <w:fldChar w:fldCharType="end"/>
    </w:r>
  </w:p>
  <w:p w:rsidR="00CC2EE0" w:rsidRDefault="00CC2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52A2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3">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8">
    <w:nsid w:val="42434F21"/>
    <w:multiLevelType w:val="hybridMultilevel"/>
    <w:tmpl w:val="CCAC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8D6A2E"/>
    <w:multiLevelType w:val="hybridMultilevel"/>
    <w:tmpl w:val="638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22"/>
  </w:num>
  <w:num w:numId="5">
    <w:abstractNumId w:val="19"/>
  </w:num>
  <w:num w:numId="6">
    <w:abstractNumId w:val="17"/>
  </w:num>
  <w:num w:numId="7">
    <w:abstractNumId w:val="2"/>
  </w:num>
  <w:num w:numId="8">
    <w:abstractNumId w:val="25"/>
  </w:num>
  <w:num w:numId="9">
    <w:abstractNumId w:val="8"/>
  </w:num>
  <w:num w:numId="10">
    <w:abstractNumId w:val="3"/>
  </w:num>
  <w:num w:numId="11">
    <w:abstractNumId w:val="12"/>
  </w:num>
  <w:num w:numId="12">
    <w:abstractNumId w:val="14"/>
  </w:num>
  <w:num w:numId="13">
    <w:abstractNumId w:val="0"/>
  </w:num>
  <w:num w:numId="14">
    <w:abstractNumId w:val="24"/>
  </w:num>
  <w:num w:numId="15">
    <w:abstractNumId w:val="10"/>
  </w:num>
  <w:num w:numId="16">
    <w:abstractNumId w:val="16"/>
  </w:num>
  <w:num w:numId="17">
    <w:abstractNumId w:val="11"/>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3"/>
  </w:num>
  <w:num w:numId="25">
    <w:abstractNumId w:val="23"/>
  </w:num>
  <w:num w:numId="26">
    <w:abstractNumId w:val="5"/>
  </w:num>
  <w:num w:numId="27">
    <w:abstractNumId w:val="26"/>
  </w:num>
  <w:num w:numId="28">
    <w:abstractNumId w:val="15"/>
  </w:num>
  <w:num w:numId="29">
    <w:abstractNumId w:val="21"/>
  </w:num>
  <w:num w:numId="30">
    <w:abstractNumId w:val="9"/>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26FCC"/>
    <w:rsid w:val="00031E40"/>
    <w:rsid w:val="00043FA5"/>
    <w:rsid w:val="00053FEF"/>
    <w:rsid w:val="00063B2E"/>
    <w:rsid w:val="00072B87"/>
    <w:rsid w:val="00073323"/>
    <w:rsid w:val="0007725F"/>
    <w:rsid w:val="0008646A"/>
    <w:rsid w:val="00097150"/>
    <w:rsid w:val="000A0347"/>
    <w:rsid w:val="000A251E"/>
    <w:rsid w:val="000A5A70"/>
    <w:rsid w:val="000B01F3"/>
    <w:rsid w:val="000C131B"/>
    <w:rsid w:val="000C643F"/>
    <w:rsid w:val="000D02D4"/>
    <w:rsid w:val="000D3936"/>
    <w:rsid w:val="000E1538"/>
    <w:rsid w:val="000E241D"/>
    <w:rsid w:val="00115E88"/>
    <w:rsid w:val="001169C0"/>
    <w:rsid w:val="001274E7"/>
    <w:rsid w:val="0015188C"/>
    <w:rsid w:val="0016121B"/>
    <w:rsid w:val="00176F5B"/>
    <w:rsid w:val="001822C4"/>
    <w:rsid w:val="001B36EF"/>
    <w:rsid w:val="001B50E8"/>
    <w:rsid w:val="001B5EC4"/>
    <w:rsid w:val="001C0A89"/>
    <w:rsid w:val="001E12BB"/>
    <w:rsid w:val="002027F7"/>
    <w:rsid w:val="00203353"/>
    <w:rsid w:val="00213577"/>
    <w:rsid w:val="00215ADD"/>
    <w:rsid w:val="00233380"/>
    <w:rsid w:val="00240DDB"/>
    <w:rsid w:val="002428A4"/>
    <w:rsid w:val="00252497"/>
    <w:rsid w:val="002770ED"/>
    <w:rsid w:val="00282562"/>
    <w:rsid w:val="002862D7"/>
    <w:rsid w:val="002B275C"/>
    <w:rsid w:val="002B5F92"/>
    <w:rsid w:val="002D5DBA"/>
    <w:rsid w:val="002E3291"/>
    <w:rsid w:val="002E5B25"/>
    <w:rsid w:val="00303C28"/>
    <w:rsid w:val="00317E4A"/>
    <w:rsid w:val="0032052B"/>
    <w:rsid w:val="00322850"/>
    <w:rsid w:val="00331568"/>
    <w:rsid w:val="00343984"/>
    <w:rsid w:val="00345DFC"/>
    <w:rsid w:val="003465E0"/>
    <w:rsid w:val="00355C94"/>
    <w:rsid w:val="00380437"/>
    <w:rsid w:val="003832B0"/>
    <w:rsid w:val="003900D7"/>
    <w:rsid w:val="00393BE7"/>
    <w:rsid w:val="00397A1D"/>
    <w:rsid w:val="003A2768"/>
    <w:rsid w:val="003A47B0"/>
    <w:rsid w:val="003B084E"/>
    <w:rsid w:val="003B4F18"/>
    <w:rsid w:val="003B65CC"/>
    <w:rsid w:val="003C04D1"/>
    <w:rsid w:val="003D220C"/>
    <w:rsid w:val="003D2ED2"/>
    <w:rsid w:val="003D4D36"/>
    <w:rsid w:val="003D7405"/>
    <w:rsid w:val="003E2BF8"/>
    <w:rsid w:val="00414136"/>
    <w:rsid w:val="00414828"/>
    <w:rsid w:val="00423522"/>
    <w:rsid w:val="00435E76"/>
    <w:rsid w:val="00466804"/>
    <w:rsid w:val="004954AD"/>
    <w:rsid w:val="0049787D"/>
    <w:rsid w:val="004A06A7"/>
    <w:rsid w:val="004B2E4D"/>
    <w:rsid w:val="004C2833"/>
    <w:rsid w:val="004C37C6"/>
    <w:rsid w:val="004C634D"/>
    <w:rsid w:val="004D13E3"/>
    <w:rsid w:val="004E22F1"/>
    <w:rsid w:val="004F023B"/>
    <w:rsid w:val="004F3439"/>
    <w:rsid w:val="0050778C"/>
    <w:rsid w:val="00511540"/>
    <w:rsid w:val="00513E15"/>
    <w:rsid w:val="005162F6"/>
    <w:rsid w:val="00516572"/>
    <w:rsid w:val="005204F2"/>
    <w:rsid w:val="00521700"/>
    <w:rsid w:val="005461F8"/>
    <w:rsid w:val="00556138"/>
    <w:rsid w:val="005677C2"/>
    <w:rsid w:val="0057093F"/>
    <w:rsid w:val="005819A8"/>
    <w:rsid w:val="0058363A"/>
    <w:rsid w:val="00592EE5"/>
    <w:rsid w:val="00593208"/>
    <w:rsid w:val="00596F57"/>
    <w:rsid w:val="005A10AF"/>
    <w:rsid w:val="005B02E2"/>
    <w:rsid w:val="005B459A"/>
    <w:rsid w:val="005C7A1B"/>
    <w:rsid w:val="005E0130"/>
    <w:rsid w:val="005E398A"/>
    <w:rsid w:val="005F5B3B"/>
    <w:rsid w:val="00602D85"/>
    <w:rsid w:val="00613DAC"/>
    <w:rsid w:val="006158CC"/>
    <w:rsid w:val="006231A0"/>
    <w:rsid w:val="006325AA"/>
    <w:rsid w:val="00636AFD"/>
    <w:rsid w:val="0064379A"/>
    <w:rsid w:val="00681DA0"/>
    <w:rsid w:val="00686384"/>
    <w:rsid w:val="00691995"/>
    <w:rsid w:val="006938B5"/>
    <w:rsid w:val="00694B8C"/>
    <w:rsid w:val="00696C06"/>
    <w:rsid w:val="006B1608"/>
    <w:rsid w:val="006E4F3E"/>
    <w:rsid w:val="006F4C73"/>
    <w:rsid w:val="00712250"/>
    <w:rsid w:val="0071271F"/>
    <w:rsid w:val="007307C8"/>
    <w:rsid w:val="00733D66"/>
    <w:rsid w:val="007623A8"/>
    <w:rsid w:val="0076754F"/>
    <w:rsid w:val="007751FB"/>
    <w:rsid w:val="007833AB"/>
    <w:rsid w:val="00784D92"/>
    <w:rsid w:val="0078750E"/>
    <w:rsid w:val="00796196"/>
    <w:rsid w:val="00796962"/>
    <w:rsid w:val="007A3B91"/>
    <w:rsid w:val="007A5A58"/>
    <w:rsid w:val="007A74CD"/>
    <w:rsid w:val="00801386"/>
    <w:rsid w:val="008220E8"/>
    <w:rsid w:val="00824910"/>
    <w:rsid w:val="00826EC6"/>
    <w:rsid w:val="008303E0"/>
    <w:rsid w:val="008346B8"/>
    <w:rsid w:val="00837E45"/>
    <w:rsid w:val="0084320F"/>
    <w:rsid w:val="00847D3C"/>
    <w:rsid w:val="00864A78"/>
    <w:rsid w:val="008708A9"/>
    <w:rsid w:val="0088066B"/>
    <w:rsid w:val="008830D5"/>
    <w:rsid w:val="0089216E"/>
    <w:rsid w:val="008950A0"/>
    <w:rsid w:val="00895DD7"/>
    <w:rsid w:val="008A0474"/>
    <w:rsid w:val="008B611C"/>
    <w:rsid w:val="008D1BF5"/>
    <w:rsid w:val="008D5979"/>
    <w:rsid w:val="008D6B21"/>
    <w:rsid w:val="0091157D"/>
    <w:rsid w:val="00921184"/>
    <w:rsid w:val="00933FDA"/>
    <w:rsid w:val="00937036"/>
    <w:rsid w:val="0095209B"/>
    <w:rsid w:val="00952885"/>
    <w:rsid w:val="009575E0"/>
    <w:rsid w:val="009606CD"/>
    <w:rsid w:val="00967583"/>
    <w:rsid w:val="00983C09"/>
    <w:rsid w:val="009A13DE"/>
    <w:rsid w:val="009A2CEC"/>
    <w:rsid w:val="009B2AF9"/>
    <w:rsid w:val="009B4794"/>
    <w:rsid w:val="009C15A6"/>
    <w:rsid w:val="009C2FF8"/>
    <w:rsid w:val="009C75FC"/>
    <w:rsid w:val="009D6E35"/>
    <w:rsid w:val="009E4763"/>
    <w:rsid w:val="009F6D94"/>
    <w:rsid w:val="00A0754C"/>
    <w:rsid w:val="00A11D1E"/>
    <w:rsid w:val="00A11F79"/>
    <w:rsid w:val="00A21D92"/>
    <w:rsid w:val="00A26E5B"/>
    <w:rsid w:val="00A81B62"/>
    <w:rsid w:val="00A84AA7"/>
    <w:rsid w:val="00A85EA4"/>
    <w:rsid w:val="00A97A3D"/>
    <w:rsid w:val="00AB0965"/>
    <w:rsid w:val="00AD785B"/>
    <w:rsid w:val="00B0096C"/>
    <w:rsid w:val="00B34860"/>
    <w:rsid w:val="00B515E9"/>
    <w:rsid w:val="00B63E52"/>
    <w:rsid w:val="00B7065F"/>
    <w:rsid w:val="00B73FAE"/>
    <w:rsid w:val="00B76A40"/>
    <w:rsid w:val="00B81019"/>
    <w:rsid w:val="00B81F08"/>
    <w:rsid w:val="00BB3BF2"/>
    <w:rsid w:val="00BB3F83"/>
    <w:rsid w:val="00BB40BF"/>
    <w:rsid w:val="00BC6FEB"/>
    <w:rsid w:val="00BE7120"/>
    <w:rsid w:val="00BF5D94"/>
    <w:rsid w:val="00BF7105"/>
    <w:rsid w:val="00C076C4"/>
    <w:rsid w:val="00C225CB"/>
    <w:rsid w:val="00C226DB"/>
    <w:rsid w:val="00C2382B"/>
    <w:rsid w:val="00C2714E"/>
    <w:rsid w:val="00C30D2E"/>
    <w:rsid w:val="00C41F83"/>
    <w:rsid w:val="00C42EA0"/>
    <w:rsid w:val="00C6458B"/>
    <w:rsid w:val="00C90C26"/>
    <w:rsid w:val="00C92163"/>
    <w:rsid w:val="00CA2A02"/>
    <w:rsid w:val="00CC1C66"/>
    <w:rsid w:val="00CC2EE0"/>
    <w:rsid w:val="00CC79F7"/>
    <w:rsid w:val="00CD116B"/>
    <w:rsid w:val="00CD7A59"/>
    <w:rsid w:val="00CE0FE7"/>
    <w:rsid w:val="00CE639D"/>
    <w:rsid w:val="00CF3E8F"/>
    <w:rsid w:val="00CF5348"/>
    <w:rsid w:val="00D06397"/>
    <w:rsid w:val="00D13520"/>
    <w:rsid w:val="00D24E37"/>
    <w:rsid w:val="00D25F67"/>
    <w:rsid w:val="00D30D9D"/>
    <w:rsid w:val="00D34641"/>
    <w:rsid w:val="00D4657B"/>
    <w:rsid w:val="00D50B86"/>
    <w:rsid w:val="00D56D64"/>
    <w:rsid w:val="00D57516"/>
    <w:rsid w:val="00D60C79"/>
    <w:rsid w:val="00D63B9F"/>
    <w:rsid w:val="00D86DCD"/>
    <w:rsid w:val="00DA217E"/>
    <w:rsid w:val="00DA2DE2"/>
    <w:rsid w:val="00DA4E3A"/>
    <w:rsid w:val="00DD00A2"/>
    <w:rsid w:val="00DE44E1"/>
    <w:rsid w:val="00DE4A2A"/>
    <w:rsid w:val="00DF003C"/>
    <w:rsid w:val="00E1338E"/>
    <w:rsid w:val="00E22C7E"/>
    <w:rsid w:val="00E2635B"/>
    <w:rsid w:val="00E26588"/>
    <w:rsid w:val="00E32741"/>
    <w:rsid w:val="00E34B0D"/>
    <w:rsid w:val="00E41928"/>
    <w:rsid w:val="00E66E0C"/>
    <w:rsid w:val="00E71A23"/>
    <w:rsid w:val="00E72B18"/>
    <w:rsid w:val="00E756F8"/>
    <w:rsid w:val="00E76280"/>
    <w:rsid w:val="00E8014D"/>
    <w:rsid w:val="00E813FB"/>
    <w:rsid w:val="00E85E30"/>
    <w:rsid w:val="00E96502"/>
    <w:rsid w:val="00E97753"/>
    <w:rsid w:val="00EA7224"/>
    <w:rsid w:val="00EB2C9B"/>
    <w:rsid w:val="00EB625E"/>
    <w:rsid w:val="00EC4675"/>
    <w:rsid w:val="00EC5240"/>
    <w:rsid w:val="00ED6AD6"/>
    <w:rsid w:val="00ED6C27"/>
    <w:rsid w:val="00F017AD"/>
    <w:rsid w:val="00F30A81"/>
    <w:rsid w:val="00F351EB"/>
    <w:rsid w:val="00F35552"/>
    <w:rsid w:val="00F440D2"/>
    <w:rsid w:val="00F517D0"/>
    <w:rsid w:val="00F66570"/>
    <w:rsid w:val="00F7466E"/>
    <w:rsid w:val="00FB5A3A"/>
    <w:rsid w:val="00FB5AC5"/>
    <w:rsid w:val="00FC7027"/>
    <w:rsid w:val="00FC7DEC"/>
    <w:rsid w:val="00FD553B"/>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D13520"/>
    <w:pPr>
      <w:ind w:left="720"/>
      <w:contextualSpacing/>
    </w:pPr>
  </w:style>
  <w:style w:type="paragraph" w:styleId="BalloonText">
    <w:name w:val="Balloon Text"/>
    <w:basedOn w:val="Normal"/>
    <w:link w:val="BalloonTextChar"/>
    <w:rsid w:val="008708A9"/>
    <w:rPr>
      <w:rFonts w:ascii="Tahoma" w:hAnsi="Tahoma" w:cs="Tahoma"/>
      <w:sz w:val="16"/>
      <w:szCs w:val="16"/>
    </w:rPr>
  </w:style>
  <w:style w:type="character" w:customStyle="1" w:styleId="BalloonTextChar">
    <w:name w:val="Balloon Text Char"/>
    <w:basedOn w:val="DefaultParagraphFont"/>
    <w:link w:val="BalloonText"/>
    <w:rsid w:val="00870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 w:type="paragraph" w:styleId="ListParagraph">
    <w:name w:val="List Paragraph"/>
    <w:basedOn w:val="Normal"/>
    <w:uiPriority w:val="34"/>
    <w:qFormat/>
    <w:rsid w:val="00D13520"/>
    <w:pPr>
      <w:ind w:left="720"/>
      <w:contextualSpacing/>
    </w:pPr>
  </w:style>
  <w:style w:type="paragraph" w:styleId="BalloonText">
    <w:name w:val="Balloon Text"/>
    <w:basedOn w:val="Normal"/>
    <w:link w:val="BalloonTextChar"/>
    <w:rsid w:val="008708A9"/>
    <w:rPr>
      <w:rFonts w:ascii="Tahoma" w:hAnsi="Tahoma" w:cs="Tahoma"/>
      <w:sz w:val="16"/>
      <w:szCs w:val="16"/>
    </w:rPr>
  </w:style>
  <w:style w:type="character" w:customStyle="1" w:styleId="BalloonTextChar">
    <w:name w:val="Balloon Text Char"/>
    <w:basedOn w:val="DefaultParagraphFont"/>
    <w:link w:val="BalloonText"/>
    <w:rsid w:val="00870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036468565">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89537081">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Rich's%20Files\My_excel\ISC\ISC%20RFPD\LSC_DiodeHighPow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ich's%20Files\My_excel\ISC\ISC%20RFPD\LSC_DiodeHighPow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Rich's%20Files\My_excel\ISC\ISC%20RFPD\LSC_DiodeHighPow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Rich's%20Files\My_excel\ISC\ISC%20RFPD\LSC_DiodeHighPow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Rich's%20Files\My_excel\ISC\ISC%20RFPD\LSC_DiodeHighPow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Sheet1!$B$2</c:f>
              <c:strCache>
                <c:ptCount val="1"/>
                <c:pt idx="0">
                  <c:v>Voltage at BNC (100V/A)</c:v>
                </c:pt>
              </c:strCache>
            </c:strRef>
          </c:tx>
          <c:marker>
            <c:symbol val="none"/>
          </c:marker>
          <c:xVal>
            <c:numRef>
              <c:f>Sheet1!$A$3:$A$16</c:f>
              <c:numCache>
                <c:formatCode>General</c:formatCode>
                <c:ptCount val="14"/>
                <c:pt idx="0">
                  <c:v>0.5</c:v>
                </c:pt>
                <c:pt idx="1">
                  <c:v>10.199999999999999</c:v>
                </c:pt>
                <c:pt idx="2">
                  <c:v>20.8</c:v>
                </c:pt>
                <c:pt idx="3">
                  <c:v>29.4</c:v>
                </c:pt>
                <c:pt idx="4">
                  <c:v>51.3</c:v>
                </c:pt>
                <c:pt idx="5">
                  <c:v>72.3</c:v>
                </c:pt>
                <c:pt idx="6">
                  <c:v>100</c:v>
                </c:pt>
                <c:pt idx="7">
                  <c:v>138</c:v>
                </c:pt>
                <c:pt idx="8">
                  <c:v>166</c:v>
                </c:pt>
                <c:pt idx="9">
                  <c:v>209</c:v>
                </c:pt>
                <c:pt idx="10">
                  <c:v>299</c:v>
                </c:pt>
                <c:pt idx="11">
                  <c:v>499</c:v>
                </c:pt>
                <c:pt idx="12">
                  <c:v>714</c:v>
                </c:pt>
                <c:pt idx="13">
                  <c:v>1010</c:v>
                </c:pt>
              </c:numCache>
            </c:numRef>
          </c:xVal>
          <c:yVal>
            <c:numRef>
              <c:f>Sheet1!$B$3:$B$16</c:f>
              <c:numCache>
                <c:formatCode>General</c:formatCode>
                <c:ptCount val="14"/>
                <c:pt idx="0">
                  <c:v>4.4999999999999998E-2</c:v>
                </c:pt>
                <c:pt idx="1">
                  <c:v>0.73399999999999999</c:v>
                </c:pt>
                <c:pt idx="2">
                  <c:v>1.51</c:v>
                </c:pt>
                <c:pt idx="3">
                  <c:v>2.04</c:v>
                </c:pt>
                <c:pt idx="4">
                  <c:v>3.65</c:v>
                </c:pt>
                <c:pt idx="5">
                  <c:v>5.17</c:v>
                </c:pt>
                <c:pt idx="6">
                  <c:v>7.2</c:v>
                </c:pt>
                <c:pt idx="7">
                  <c:v>9.89</c:v>
                </c:pt>
                <c:pt idx="8">
                  <c:v>12</c:v>
                </c:pt>
                <c:pt idx="9">
                  <c:v>12.8</c:v>
                </c:pt>
                <c:pt idx="10">
                  <c:v>12.8</c:v>
                </c:pt>
                <c:pt idx="11">
                  <c:v>12.9</c:v>
                </c:pt>
                <c:pt idx="12">
                  <c:v>12.8</c:v>
                </c:pt>
                <c:pt idx="13">
                  <c:v>12.9</c:v>
                </c:pt>
              </c:numCache>
            </c:numRef>
          </c:yVal>
          <c:smooth val="0"/>
        </c:ser>
        <c:dLbls>
          <c:showLegendKey val="0"/>
          <c:showVal val="0"/>
          <c:showCatName val="0"/>
          <c:showSerName val="0"/>
          <c:showPercent val="0"/>
          <c:showBubbleSize val="0"/>
        </c:dLbls>
        <c:axId val="189039744"/>
        <c:axId val="201398528"/>
      </c:scatterChart>
      <c:valAx>
        <c:axId val="189039744"/>
        <c:scaling>
          <c:orientation val="minMax"/>
          <c:max val="1000"/>
        </c:scaling>
        <c:delete val="0"/>
        <c:axPos val="b"/>
        <c:minorGridlines/>
        <c:title>
          <c:tx>
            <c:rich>
              <a:bodyPr/>
              <a:lstStyle/>
              <a:p>
                <a:pPr>
                  <a:defRPr sz="1400"/>
                </a:pPr>
                <a:r>
                  <a:rPr lang="en-US" sz="1400"/>
                  <a:t>Optical Power (mW)</a:t>
                </a:r>
              </a:p>
            </c:rich>
          </c:tx>
          <c:overlay val="0"/>
        </c:title>
        <c:numFmt formatCode="General" sourceLinked="1"/>
        <c:majorTickMark val="out"/>
        <c:minorTickMark val="none"/>
        <c:tickLblPos val="nextTo"/>
        <c:crossAx val="201398528"/>
        <c:crosses val="autoZero"/>
        <c:crossBetween val="midCat"/>
      </c:valAx>
      <c:valAx>
        <c:axId val="201398528"/>
        <c:scaling>
          <c:orientation val="minMax"/>
        </c:scaling>
        <c:delete val="0"/>
        <c:axPos val="l"/>
        <c:majorGridlines/>
        <c:title>
          <c:tx>
            <c:rich>
              <a:bodyPr rot="-5400000" vert="horz"/>
              <a:lstStyle/>
              <a:p>
                <a:pPr>
                  <a:defRPr sz="1400"/>
                </a:pPr>
                <a:r>
                  <a:rPr lang="en-US" sz="1400"/>
                  <a:t>Volts</a:t>
                </a:r>
              </a:p>
            </c:rich>
          </c:tx>
          <c:overlay val="0"/>
        </c:title>
        <c:numFmt formatCode="General" sourceLinked="1"/>
        <c:majorTickMark val="out"/>
        <c:minorTickMark val="none"/>
        <c:tickLblPos val="nextTo"/>
        <c:crossAx val="18903974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Photodiode Voltages</a:t>
            </a:r>
          </a:p>
        </c:rich>
      </c:tx>
      <c:overlay val="0"/>
    </c:title>
    <c:autoTitleDeleted val="0"/>
    <c:plotArea>
      <c:layout/>
      <c:scatterChart>
        <c:scatterStyle val="lineMarker"/>
        <c:varyColors val="0"/>
        <c:ser>
          <c:idx val="0"/>
          <c:order val="0"/>
          <c:tx>
            <c:v>Vanode</c:v>
          </c:tx>
          <c:marker>
            <c:symbol val="none"/>
          </c:marker>
          <c:xVal>
            <c:numRef>
              <c:f>Sheet1!$A$3:$A$16</c:f>
              <c:numCache>
                <c:formatCode>General</c:formatCode>
                <c:ptCount val="14"/>
                <c:pt idx="0">
                  <c:v>0.5</c:v>
                </c:pt>
                <c:pt idx="1">
                  <c:v>10.199999999999999</c:v>
                </c:pt>
                <c:pt idx="2">
                  <c:v>20.8</c:v>
                </c:pt>
                <c:pt idx="3">
                  <c:v>29.4</c:v>
                </c:pt>
                <c:pt idx="4">
                  <c:v>51.3</c:v>
                </c:pt>
                <c:pt idx="5">
                  <c:v>72.3</c:v>
                </c:pt>
                <c:pt idx="6">
                  <c:v>100</c:v>
                </c:pt>
                <c:pt idx="7">
                  <c:v>138</c:v>
                </c:pt>
                <c:pt idx="8">
                  <c:v>166</c:v>
                </c:pt>
                <c:pt idx="9">
                  <c:v>209</c:v>
                </c:pt>
                <c:pt idx="10">
                  <c:v>299</c:v>
                </c:pt>
                <c:pt idx="11">
                  <c:v>499</c:v>
                </c:pt>
                <c:pt idx="12">
                  <c:v>714</c:v>
                </c:pt>
                <c:pt idx="13">
                  <c:v>1010</c:v>
                </c:pt>
              </c:numCache>
            </c:numRef>
          </c:xVal>
          <c:yVal>
            <c:numRef>
              <c:f>Sheet1!$E$3:$E$16</c:f>
              <c:numCache>
                <c:formatCode>General</c:formatCode>
                <c:ptCount val="14"/>
                <c:pt idx="0">
                  <c:v>-9.2999999999999999E-2</c:v>
                </c:pt>
                <c:pt idx="1">
                  <c:v>-0.02</c:v>
                </c:pt>
                <c:pt idx="2">
                  <c:v>5.5E-2</c:v>
                </c:pt>
                <c:pt idx="3">
                  <c:v>0.125</c:v>
                </c:pt>
                <c:pt idx="4">
                  <c:v>0.26500000000000001</c:v>
                </c:pt>
                <c:pt idx="5">
                  <c:v>0.41</c:v>
                </c:pt>
                <c:pt idx="6">
                  <c:v>0.56699999999999995</c:v>
                </c:pt>
                <c:pt idx="7">
                  <c:v>0.80700000000000005</c:v>
                </c:pt>
                <c:pt idx="8">
                  <c:v>0.98899999999999999</c:v>
                </c:pt>
                <c:pt idx="9">
                  <c:v>1.1000000000000001</c:v>
                </c:pt>
                <c:pt idx="10">
                  <c:v>1.73</c:v>
                </c:pt>
                <c:pt idx="11">
                  <c:v>2.4</c:v>
                </c:pt>
                <c:pt idx="12">
                  <c:v>2.71</c:v>
                </c:pt>
                <c:pt idx="13">
                  <c:v>2.9</c:v>
                </c:pt>
              </c:numCache>
            </c:numRef>
          </c:yVal>
          <c:smooth val="0"/>
        </c:ser>
        <c:ser>
          <c:idx val="1"/>
          <c:order val="1"/>
          <c:tx>
            <c:v>Vbias</c:v>
          </c:tx>
          <c:marker>
            <c:symbol val="none"/>
          </c:marker>
          <c:xVal>
            <c:numRef>
              <c:f>Sheet1!$A$3:$A$16</c:f>
              <c:numCache>
                <c:formatCode>General</c:formatCode>
                <c:ptCount val="14"/>
                <c:pt idx="0">
                  <c:v>0.5</c:v>
                </c:pt>
                <c:pt idx="1">
                  <c:v>10.199999999999999</c:v>
                </c:pt>
                <c:pt idx="2">
                  <c:v>20.8</c:v>
                </c:pt>
                <c:pt idx="3">
                  <c:v>29.4</c:v>
                </c:pt>
                <c:pt idx="4">
                  <c:v>51.3</c:v>
                </c:pt>
                <c:pt idx="5">
                  <c:v>72.3</c:v>
                </c:pt>
                <c:pt idx="6">
                  <c:v>100</c:v>
                </c:pt>
                <c:pt idx="7">
                  <c:v>138</c:v>
                </c:pt>
                <c:pt idx="8">
                  <c:v>166</c:v>
                </c:pt>
                <c:pt idx="9">
                  <c:v>209</c:v>
                </c:pt>
                <c:pt idx="10">
                  <c:v>299</c:v>
                </c:pt>
                <c:pt idx="11">
                  <c:v>499</c:v>
                </c:pt>
                <c:pt idx="12">
                  <c:v>714</c:v>
                </c:pt>
                <c:pt idx="13">
                  <c:v>1010</c:v>
                </c:pt>
              </c:numCache>
            </c:numRef>
          </c:xVal>
          <c:yVal>
            <c:numRef>
              <c:f>Sheet1!$C$3:$C$16</c:f>
              <c:numCache>
                <c:formatCode>General</c:formatCode>
                <c:ptCount val="14"/>
                <c:pt idx="0">
                  <c:v>5.0199999999999996</c:v>
                </c:pt>
                <c:pt idx="1">
                  <c:v>5.0199999999999996</c:v>
                </c:pt>
                <c:pt idx="2">
                  <c:v>5.0199999999999996</c:v>
                </c:pt>
                <c:pt idx="3">
                  <c:v>5.03</c:v>
                </c:pt>
                <c:pt idx="4">
                  <c:v>5.0199999999999996</c:v>
                </c:pt>
                <c:pt idx="5">
                  <c:v>5.01</c:v>
                </c:pt>
                <c:pt idx="6">
                  <c:v>5.0199999999999996</c:v>
                </c:pt>
                <c:pt idx="7">
                  <c:v>5.0199999999999996</c:v>
                </c:pt>
                <c:pt idx="8">
                  <c:v>5.0199999999999996</c:v>
                </c:pt>
                <c:pt idx="9">
                  <c:v>5.03</c:v>
                </c:pt>
                <c:pt idx="10">
                  <c:v>5.03</c:v>
                </c:pt>
                <c:pt idx="11">
                  <c:v>5.01</c:v>
                </c:pt>
                <c:pt idx="12">
                  <c:v>5.0199999999999996</c:v>
                </c:pt>
                <c:pt idx="13">
                  <c:v>5.04</c:v>
                </c:pt>
              </c:numCache>
            </c:numRef>
          </c:yVal>
          <c:smooth val="0"/>
        </c:ser>
        <c:dLbls>
          <c:showLegendKey val="0"/>
          <c:showVal val="0"/>
          <c:showCatName val="0"/>
          <c:showSerName val="0"/>
          <c:showPercent val="0"/>
          <c:showBubbleSize val="0"/>
        </c:dLbls>
        <c:axId val="206876032"/>
        <c:axId val="206882304"/>
      </c:scatterChart>
      <c:valAx>
        <c:axId val="206876032"/>
        <c:scaling>
          <c:orientation val="minMax"/>
          <c:max val="1000"/>
        </c:scaling>
        <c:delete val="0"/>
        <c:axPos val="b"/>
        <c:minorGridlines/>
        <c:title>
          <c:tx>
            <c:rich>
              <a:bodyPr/>
              <a:lstStyle/>
              <a:p>
                <a:pPr>
                  <a:defRPr sz="1400"/>
                </a:pPr>
                <a:r>
                  <a:rPr lang="en-US" sz="1400"/>
                  <a:t>Optical Power (mW)</a:t>
                </a:r>
              </a:p>
            </c:rich>
          </c:tx>
          <c:overlay val="0"/>
        </c:title>
        <c:numFmt formatCode="General" sourceLinked="1"/>
        <c:majorTickMark val="out"/>
        <c:minorTickMark val="none"/>
        <c:tickLblPos val="nextTo"/>
        <c:crossAx val="206882304"/>
        <c:crossesAt val="-1"/>
        <c:crossBetween val="midCat"/>
      </c:valAx>
      <c:valAx>
        <c:axId val="206882304"/>
        <c:scaling>
          <c:orientation val="minMax"/>
        </c:scaling>
        <c:delete val="0"/>
        <c:axPos val="l"/>
        <c:majorGridlines/>
        <c:title>
          <c:tx>
            <c:rich>
              <a:bodyPr rot="-5400000" vert="horz"/>
              <a:lstStyle/>
              <a:p>
                <a:pPr>
                  <a:defRPr sz="1400"/>
                </a:pPr>
                <a:r>
                  <a:rPr lang="en-US" sz="1400"/>
                  <a:t>Volts</a:t>
                </a:r>
              </a:p>
            </c:rich>
          </c:tx>
          <c:overlay val="0"/>
        </c:title>
        <c:numFmt formatCode="General" sourceLinked="1"/>
        <c:majorTickMark val="out"/>
        <c:minorTickMark val="none"/>
        <c:tickLblPos val="nextTo"/>
        <c:crossAx val="20687603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Sheet1!$B$39</c:f>
              <c:strCache>
                <c:ptCount val="1"/>
                <c:pt idx="0">
                  <c:v>Voltage at TP1 (499V/A)</c:v>
                </c:pt>
              </c:strCache>
            </c:strRef>
          </c:tx>
          <c:marker>
            <c:symbol val="none"/>
          </c:marker>
          <c:xVal>
            <c:numRef>
              <c:f>Sheet1!$A$40:$A$52</c:f>
              <c:numCache>
                <c:formatCode>General</c:formatCode>
                <c:ptCount val="13"/>
                <c:pt idx="0">
                  <c:v>0.5</c:v>
                </c:pt>
                <c:pt idx="1">
                  <c:v>2.9</c:v>
                </c:pt>
                <c:pt idx="2">
                  <c:v>8.3000000000000007</c:v>
                </c:pt>
                <c:pt idx="3">
                  <c:v>14.5</c:v>
                </c:pt>
                <c:pt idx="4">
                  <c:v>29</c:v>
                </c:pt>
                <c:pt idx="5">
                  <c:v>31</c:v>
                </c:pt>
                <c:pt idx="6">
                  <c:v>31.6</c:v>
                </c:pt>
                <c:pt idx="7">
                  <c:v>51.3</c:v>
                </c:pt>
                <c:pt idx="8">
                  <c:v>102</c:v>
                </c:pt>
                <c:pt idx="9">
                  <c:v>205</c:v>
                </c:pt>
                <c:pt idx="10">
                  <c:v>305</c:v>
                </c:pt>
                <c:pt idx="11">
                  <c:v>502</c:v>
                </c:pt>
                <c:pt idx="12">
                  <c:v>1010</c:v>
                </c:pt>
              </c:numCache>
            </c:numRef>
          </c:xVal>
          <c:yVal>
            <c:numRef>
              <c:f>Sheet1!$B$40:$B$52</c:f>
              <c:numCache>
                <c:formatCode>General</c:formatCode>
                <c:ptCount val="13"/>
                <c:pt idx="0">
                  <c:v>0.27</c:v>
                </c:pt>
                <c:pt idx="1">
                  <c:v>0.98199999999999998</c:v>
                </c:pt>
                <c:pt idx="2">
                  <c:v>2.99</c:v>
                </c:pt>
                <c:pt idx="3">
                  <c:v>5</c:v>
                </c:pt>
                <c:pt idx="4">
                  <c:v>10.1</c:v>
                </c:pt>
                <c:pt idx="5">
                  <c:v>11.1</c:v>
                </c:pt>
                <c:pt idx="6">
                  <c:v>11.2</c:v>
                </c:pt>
                <c:pt idx="7">
                  <c:v>11</c:v>
                </c:pt>
                <c:pt idx="8">
                  <c:v>11</c:v>
                </c:pt>
                <c:pt idx="9">
                  <c:v>11</c:v>
                </c:pt>
                <c:pt idx="10">
                  <c:v>10.9</c:v>
                </c:pt>
                <c:pt idx="11">
                  <c:v>10.9</c:v>
                </c:pt>
                <c:pt idx="12">
                  <c:v>10.9</c:v>
                </c:pt>
              </c:numCache>
            </c:numRef>
          </c:yVal>
          <c:smooth val="0"/>
        </c:ser>
        <c:dLbls>
          <c:showLegendKey val="0"/>
          <c:showVal val="0"/>
          <c:showCatName val="0"/>
          <c:showSerName val="0"/>
          <c:showPercent val="0"/>
          <c:showBubbleSize val="0"/>
        </c:dLbls>
        <c:axId val="206894976"/>
        <c:axId val="208539648"/>
      </c:scatterChart>
      <c:valAx>
        <c:axId val="206894976"/>
        <c:scaling>
          <c:orientation val="minMax"/>
          <c:max val="1000"/>
        </c:scaling>
        <c:delete val="0"/>
        <c:axPos val="b"/>
        <c:minorGridlines/>
        <c:title>
          <c:tx>
            <c:rich>
              <a:bodyPr/>
              <a:lstStyle/>
              <a:p>
                <a:pPr>
                  <a:defRPr sz="1400"/>
                </a:pPr>
                <a:r>
                  <a:rPr lang="en-US" sz="1400"/>
                  <a:t>Optical Power (mW)</a:t>
                </a:r>
              </a:p>
            </c:rich>
          </c:tx>
          <c:overlay val="0"/>
        </c:title>
        <c:numFmt formatCode="General" sourceLinked="1"/>
        <c:majorTickMark val="out"/>
        <c:minorTickMark val="none"/>
        <c:tickLblPos val="nextTo"/>
        <c:crossAx val="208539648"/>
        <c:crosses val="autoZero"/>
        <c:crossBetween val="midCat"/>
      </c:valAx>
      <c:valAx>
        <c:axId val="208539648"/>
        <c:scaling>
          <c:orientation val="minMax"/>
        </c:scaling>
        <c:delete val="0"/>
        <c:axPos val="l"/>
        <c:majorGridlines/>
        <c:title>
          <c:tx>
            <c:rich>
              <a:bodyPr rot="-5400000" vert="horz"/>
              <a:lstStyle/>
              <a:p>
                <a:pPr>
                  <a:defRPr sz="1400"/>
                </a:pPr>
                <a:r>
                  <a:rPr lang="en-US" sz="1400"/>
                  <a:t>Volts</a:t>
                </a:r>
              </a:p>
            </c:rich>
          </c:tx>
          <c:overlay val="0"/>
        </c:title>
        <c:numFmt formatCode="General" sourceLinked="1"/>
        <c:majorTickMark val="out"/>
        <c:minorTickMark val="none"/>
        <c:tickLblPos val="nextTo"/>
        <c:crossAx val="206894976"/>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Photodiode Voltages</a:t>
            </a:r>
          </a:p>
        </c:rich>
      </c:tx>
      <c:overlay val="0"/>
    </c:title>
    <c:autoTitleDeleted val="0"/>
    <c:plotArea>
      <c:layout/>
      <c:scatterChart>
        <c:scatterStyle val="lineMarker"/>
        <c:varyColors val="0"/>
        <c:ser>
          <c:idx val="0"/>
          <c:order val="0"/>
          <c:tx>
            <c:strRef>
              <c:f>Sheet1!$E$39</c:f>
              <c:strCache>
                <c:ptCount val="1"/>
                <c:pt idx="0">
                  <c:v>Vanode (V)</c:v>
                </c:pt>
              </c:strCache>
            </c:strRef>
          </c:tx>
          <c:marker>
            <c:symbol val="none"/>
          </c:marker>
          <c:xVal>
            <c:numRef>
              <c:f>Sheet1!$A$40:$A$52</c:f>
              <c:numCache>
                <c:formatCode>General</c:formatCode>
                <c:ptCount val="13"/>
                <c:pt idx="0">
                  <c:v>0.5</c:v>
                </c:pt>
                <c:pt idx="1">
                  <c:v>2.9</c:v>
                </c:pt>
                <c:pt idx="2">
                  <c:v>8.3000000000000007</c:v>
                </c:pt>
                <c:pt idx="3">
                  <c:v>14.5</c:v>
                </c:pt>
                <c:pt idx="4">
                  <c:v>29</c:v>
                </c:pt>
                <c:pt idx="5">
                  <c:v>31</c:v>
                </c:pt>
                <c:pt idx="6">
                  <c:v>31.6</c:v>
                </c:pt>
                <c:pt idx="7">
                  <c:v>51.3</c:v>
                </c:pt>
                <c:pt idx="8">
                  <c:v>102</c:v>
                </c:pt>
                <c:pt idx="9">
                  <c:v>205</c:v>
                </c:pt>
                <c:pt idx="10">
                  <c:v>305</c:v>
                </c:pt>
                <c:pt idx="11">
                  <c:v>502</c:v>
                </c:pt>
                <c:pt idx="12">
                  <c:v>1010</c:v>
                </c:pt>
              </c:numCache>
            </c:numRef>
          </c:xVal>
          <c:yVal>
            <c:numRef>
              <c:f>Sheet1!$E$40:$E$52</c:f>
              <c:numCache>
                <c:formatCode>General</c:formatCode>
                <c:ptCount val="13"/>
                <c:pt idx="0">
                  <c:v>-6.0000000000000001E-3</c:v>
                </c:pt>
                <c:pt idx="1">
                  <c:v>1.5900000000000001E-2</c:v>
                </c:pt>
                <c:pt idx="2">
                  <c:v>0.05</c:v>
                </c:pt>
                <c:pt idx="3">
                  <c:v>8.6999999999999994E-2</c:v>
                </c:pt>
                <c:pt idx="4">
                  <c:v>0.17299999999999999</c:v>
                </c:pt>
                <c:pt idx="5">
                  <c:v>0.19</c:v>
                </c:pt>
                <c:pt idx="6">
                  <c:v>0.24399999999999999</c:v>
                </c:pt>
                <c:pt idx="7">
                  <c:v>1.75</c:v>
                </c:pt>
                <c:pt idx="8">
                  <c:v>1.97</c:v>
                </c:pt>
                <c:pt idx="9">
                  <c:v>2.14</c:v>
                </c:pt>
                <c:pt idx="10">
                  <c:v>2.27</c:v>
                </c:pt>
                <c:pt idx="11">
                  <c:v>2.42</c:v>
                </c:pt>
                <c:pt idx="12">
                  <c:v>2.68</c:v>
                </c:pt>
              </c:numCache>
            </c:numRef>
          </c:yVal>
          <c:smooth val="0"/>
        </c:ser>
        <c:ser>
          <c:idx val="1"/>
          <c:order val="1"/>
          <c:tx>
            <c:v>Vbias</c:v>
          </c:tx>
          <c:marker>
            <c:symbol val="none"/>
          </c:marker>
          <c:xVal>
            <c:numRef>
              <c:f>Sheet1!$A$40:$A$52</c:f>
              <c:numCache>
                <c:formatCode>General</c:formatCode>
                <c:ptCount val="13"/>
                <c:pt idx="0">
                  <c:v>0.5</c:v>
                </c:pt>
                <c:pt idx="1">
                  <c:v>2.9</c:v>
                </c:pt>
                <c:pt idx="2">
                  <c:v>8.3000000000000007</c:v>
                </c:pt>
                <c:pt idx="3">
                  <c:v>14.5</c:v>
                </c:pt>
                <c:pt idx="4">
                  <c:v>29</c:v>
                </c:pt>
                <c:pt idx="5">
                  <c:v>31</c:v>
                </c:pt>
                <c:pt idx="6">
                  <c:v>31.6</c:v>
                </c:pt>
                <c:pt idx="7">
                  <c:v>51.3</c:v>
                </c:pt>
                <c:pt idx="8">
                  <c:v>102</c:v>
                </c:pt>
                <c:pt idx="9">
                  <c:v>205</c:v>
                </c:pt>
                <c:pt idx="10">
                  <c:v>305</c:v>
                </c:pt>
                <c:pt idx="11">
                  <c:v>502</c:v>
                </c:pt>
                <c:pt idx="12">
                  <c:v>1010</c:v>
                </c:pt>
              </c:numCache>
            </c:numRef>
          </c:xVal>
          <c:yVal>
            <c:numRef>
              <c:f>Sheet1!$C$40:$C$52</c:f>
              <c:numCache>
                <c:formatCode>General</c:formatCode>
                <c:ptCount val="13"/>
                <c:pt idx="0">
                  <c:v>5.0199999999999996</c:v>
                </c:pt>
                <c:pt idx="1">
                  <c:v>5.0199999999999996</c:v>
                </c:pt>
                <c:pt idx="2">
                  <c:v>5.0199999999999996</c:v>
                </c:pt>
                <c:pt idx="3">
                  <c:v>5.0199999999999996</c:v>
                </c:pt>
                <c:pt idx="4">
                  <c:v>5.0199999999999996</c:v>
                </c:pt>
                <c:pt idx="5">
                  <c:v>5.0199999999999996</c:v>
                </c:pt>
                <c:pt idx="6">
                  <c:v>5.0199999999999996</c:v>
                </c:pt>
                <c:pt idx="7">
                  <c:v>5.0199999999999996</c:v>
                </c:pt>
                <c:pt idx="8">
                  <c:v>5.0199999999999996</c:v>
                </c:pt>
                <c:pt idx="9">
                  <c:v>5.0199999999999996</c:v>
                </c:pt>
                <c:pt idx="10">
                  <c:v>5.0199999999999996</c:v>
                </c:pt>
                <c:pt idx="11">
                  <c:v>5.0199999999999996</c:v>
                </c:pt>
                <c:pt idx="12">
                  <c:v>5.0199999999999996</c:v>
                </c:pt>
              </c:numCache>
            </c:numRef>
          </c:yVal>
          <c:smooth val="0"/>
        </c:ser>
        <c:dLbls>
          <c:showLegendKey val="0"/>
          <c:showVal val="0"/>
          <c:showCatName val="0"/>
          <c:showSerName val="0"/>
          <c:showPercent val="0"/>
          <c:showBubbleSize val="0"/>
        </c:dLbls>
        <c:axId val="208589568"/>
        <c:axId val="208591488"/>
      </c:scatterChart>
      <c:valAx>
        <c:axId val="208589568"/>
        <c:scaling>
          <c:orientation val="minMax"/>
          <c:max val="1000"/>
        </c:scaling>
        <c:delete val="0"/>
        <c:axPos val="b"/>
        <c:minorGridlines/>
        <c:title>
          <c:tx>
            <c:rich>
              <a:bodyPr/>
              <a:lstStyle/>
              <a:p>
                <a:pPr>
                  <a:defRPr sz="1400"/>
                </a:pPr>
                <a:r>
                  <a:rPr lang="en-US" sz="1400"/>
                  <a:t>Optical Power (mW)</a:t>
                </a:r>
              </a:p>
            </c:rich>
          </c:tx>
          <c:overlay val="0"/>
        </c:title>
        <c:numFmt formatCode="General" sourceLinked="1"/>
        <c:majorTickMark val="out"/>
        <c:minorTickMark val="none"/>
        <c:tickLblPos val="nextTo"/>
        <c:crossAx val="208591488"/>
        <c:crossesAt val="-1"/>
        <c:crossBetween val="midCat"/>
      </c:valAx>
      <c:valAx>
        <c:axId val="208591488"/>
        <c:scaling>
          <c:orientation val="minMax"/>
        </c:scaling>
        <c:delete val="0"/>
        <c:axPos val="l"/>
        <c:majorGridlines/>
        <c:title>
          <c:tx>
            <c:rich>
              <a:bodyPr rot="-5400000" vert="horz"/>
              <a:lstStyle/>
              <a:p>
                <a:pPr>
                  <a:defRPr sz="1400"/>
                </a:pPr>
                <a:r>
                  <a:rPr lang="en-US" sz="1400"/>
                  <a:t>Volts</a:t>
                </a:r>
              </a:p>
            </c:rich>
          </c:tx>
          <c:overlay val="0"/>
        </c:title>
        <c:numFmt formatCode="General" sourceLinked="1"/>
        <c:majorTickMark val="out"/>
        <c:minorTickMark val="none"/>
        <c:tickLblPos val="nextTo"/>
        <c:crossAx val="208589568"/>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WFS Temp. vs. Time at 1W</a:t>
            </a:r>
            <a:r>
              <a:rPr lang="en-US" baseline="0"/>
              <a:t> Optical</a:t>
            </a:r>
            <a:endParaRPr lang="en-US"/>
          </a:p>
        </c:rich>
      </c:tx>
      <c:overlay val="0"/>
    </c:title>
    <c:autoTitleDeleted val="0"/>
    <c:plotArea>
      <c:layout/>
      <c:scatterChart>
        <c:scatterStyle val="lineMarker"/>
        <c:varyColors val="0"/>
        <c:ser>
          <c:idx val="0"/>
          <c:order val="0"/>
          <c:tx>
            <c:strRef>
              <c:f>Sheet1!$B$39</c:f>
              <c:strCache>
                <c:ptCount val="1"/>
                <c:pt idx="0">
                  <c:v>Voltage at TP1 (499V/A)</c:v>
                </c:pt>
              </c:strCache>
            </c:strRef>
          </c:tx>
          <c:xVal>
            <c:numRef>
              <c:f>Sheet1!$A$60:$A$63</c:f>
              <c:numCache>
                <c:formatCode>General</c:formatCode>
                <c:ptCount val="4"/>
                <c:pt idx="0">
                  <c:v>0</c:v>
                </c:pt>
                <c:pt idx="1">
                  <c:v>5</c:v>
                </c:pt>
                <c:pt idx="2">
                  <c:v>10</c:v>
                </c:pt>
                <c:pt idx="3">
                  <c:v>15</c:v>
                </c:pt>
              </c:numCache>
            </c:numRef>
          </c:xVal>
          <c:yVal>
            <c:numRef>
              <c:f>Sheet1!$B$60:$B$63</c:f>
              <c:numCache>
                <c:formatCode>General</c:formatCode>
                <c:ptCount val="4"/>
                <c:pt idx="0">
                  <c:v>84.5</c:v>
                </c:pt>
                <c:pt idx="1">
                  <c:v>87.7</c:v>
                </c:pt>
                <c:pt idx="2">
                  <c:v>89.3</c:v>
                </c:pt>
                <c:pt idx="3">
                  <c:v>90.3</c:v>
                </c:pt>
              </c:numCache>
            </c:numRef>
          </c:yVal>
          <c:smooth val="0"/>
        </c:ser>
        <c:dLbls>
          <c:showLegendKey val="0"/>
          <c:showVal val="0"/>
          <c:showCatName val="0"/>
          <c:showSerName val="0"/>
          <c:showPercent val="0"/>
          <c:showBubbleSize val="0"/>
        </c:dLbls>
        <c:axId val="209062912"/>
        <c:axId val="209085568"/>
      </c:scatterChart>
      <c:valAx>
        <c:axId val="209062912"/>
        <c:scaling>
          <c:orientation val="minMax"/>
          <c:max val="15"/>
        </c:scaling>
        <c:delete val="0"/>
        <c:axPos val="b"/>
        <c:minorGridlines/>
        <c:title>
          <c:tx>
            <c:rich>
              <a:bodyPr/>
              <a:lstStyle/>
              <a:p>
                <a:pPr>
                  <a:defRPr sz="1400"/>
                </a:pPr>
                <a:r>
                  <a:rPr lang="en-US" sz="1400"/>
                  <a:t>Time (Minutes)</a:t>
                </a:r>
              </a:p>
            </c:rich>
          </c:tx>
          <c:overlay val="0"/>
        </c:title>
        <c:numFmt formatCode="General" sourceLinked="1"/>
        <c:majorTickMark val="out"/>
        <c:minorTickMark val="none"/>
        <c:tickLblPos val="nextTo"/>
        <c:crossAx val="209085568"/>
        <c:crosses val="autoZero"/>
        <c:crossBetween val="midCat"/>
      </c:valAx>
      <c:valAx>
        <c:axId val="209085568"/>
        <c:scaling>
          <c:orientation val="minMax"/>
        </c:scaling>
        <c:delete val="0"/>
        <c:axPos val="l"/>
        <c:majorGridlines/>
        <c:title>
          <c:tx>
            <c:rich>
              <a:bodyPr rot="-5400000" vert="horz"/>
              <a:lstStyle/>
              <a:p>
                <a:pPr>
                  <a:defRPr sz="1400"/>
                </a:pPr>
                <a:r>
                  <a:rPr lang="en-US" sz="1400"/>
                  <a:t>Temperature (F)</a:t>
                </a:r>
              </a:p>
            </c:rich>
          </c:tx>
          <c:overlay val="0"/>
        </c:title>
        <c:numFmt formatCode="General" sourceLinked="1"/>
        <c:majorTickMark val="out"/>
        <c:minorTickMark val="none"/>
        <c:tickLblPos val="nextTo"/>
        <c:crossAx val="209062912"/>
        <c:crossesAt val="-1"/>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2</cp:revision>
  <cp:lastPrinted>2014-01-31T00:24:00Z</cp:lastPrinted>
  <dcterms:created xsi:type="dcterms:W3CDTF">2014-02-01T01:27:00Z</dcterms:created>
  <dcterms:modified xsi:type="dcterms:W3CDTF">2014-02-01T01:27:00Z</dcterms:modified>
</cp:coreProperties>
</file>