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FE" w:rsidRDefault="004C63FE" w:rsidP="004C63FE">
      <w:pPr>
        <w:jc w:val="center"/>
        <w:rPr>
          <w:sz w:val="36"/>
          <w:szCs w:val="36"/>
        </w:rPr>
      </w:pPr>
      <w:r>
        <w:rPr>
          <w:b/>
          <w:i/>
          <w:sz w:val="36"/>
          <w:szCs w:val="36"/>
        </w:rPr>
        <w:t>LIGO Laboratory / LIGO Scientific Collaboration</w:t>
      </w:r>
    </w:p>
    <w:tbl>
      <w:tblPr>
        <w:tblStyle w:val="TableGrid"/>
        <w:tblW w:w="0" w:type="auto"/>
        <w:tblBorders>
          <w:top w:val="threeDEmboss" w:sz="24" w:space="0" w:color="3B3B3B" w:themeColor="text2"/>
          <w:left w:val="threeDEmboss" w:sz="24" w:space="0" w:color="3B3B3B" w:themeColor="text2"/>
          <w:bottom w:val="threeDEngrave" w:sz="24" w:space="0" w:color="3B3B3B" w:themeColor="text2"/>
          <w:right w:val="threeDEngrave" w:sz="24" w:space="0" w:color="3B3B3B" w:themeColor="text2"/>
          <w:insideH w:val="single" w:sz="8" w:space="0" w:color="3B3B3B" w:themeColor="text2"/>
          <w:insideV w:val="single" w:sz="8" w:space="0" w:color="3B3B3B" w:themeColor="text2"/>
        </w:tblBorders>
        <w:tblLook w:val="04A0" w:firstRow="1" w:lastRow="0" w:firstColumn="1" w:lastColumn="0" w:noHBand="0" w:noVBand="1"/>
      </w:tblPr>
      <w:tblGrid>
        <w:gridCol w:w="10296"/>
      </w:tblGrid>
      <w:tr w:rsidR="004C63FE" w:rsidTr="008C2436">
        <w:trPr>
          <w:trHeight w:val="627"/>
        </w:trPr>
        <w:tc>
          <w:tcPr>
            <w:tcW w:w="10296" w:type="dxa"/>
          </w:tcPr>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0"/>
            </w:tblGrid>
            <w:tr w:rsidR="004C63FE" w:rsidTr="004C63FE">
              <w:tc>
                <w:tcPr>
                  <w:tcW w:w="3355" w:type="dxa"/>
                </w:tcPr>
                <w:p w:rsidR="004C63FE" w:rsidRPr="008540E9" w:rsidRDefault="00F316A6" w:rsidP="008C2436">
                  <w:pPr>
                    <w:jc w:val="both"/>
                  </w:pPr>
                  <w:r>
                    <w:t>E1300889</w:t>
                  </w:r>
                  <w:r w:rsidR="002775F5">
                    <w:t>-v1</w:t>
                  </w:r>
                </w:p>
              </w:tc>
              <w:tc>
                <w:tcPr>
                  <w:tcW w:w="3355" w:type="dxa"/>
                </w:tcPr>
                <w:p w:rsidR="004C63FE" w:rsidRPr="008540E9" w:rsidRDefault="004C63FE" w:rsidP="008C2436">
                  <w:pPr>
                    <w:jc w:val="center"/>
                    <w:rPr>
                      <w:i/>
                      <w:color w:val="3B3B3B" w:themeColor="text2"/>
                      <w:sz w:val="36"/>
                      <w:szCs w:val="36"/>
                    </w:rPr>
                  </w:pPr>
                  <w:proofErr w:type="spellStart"/>
                  <w:r w:rsidRPr="008540E9">
                    <w:rPr>
                      <w:i/>
                      <w:color w:val="3B3B3B" w:themeColor="text2"/>
                      <w:sz w:val="36"/>
                      <w:szCs w:val="36"/>
                    </w:rPr>
                    <w:t>aLIGO</w:t>
                  </w:r>
                  <w:proofErr w:type="spellEnd"/>
                </w:p>
              </w:tc>
              <w:tc>
                <w:tcPr>
                  <w:tcW w:w="3355" w:type="dxa"/>
                </w:tcPr>
                <w:p w:rsidR="004C63FE" w:rsidRPr="008540E9" w:rsidRDefault="00F316A6" w:rsidP="004C63FE">
                  <w:pPr>
                    <w:jc w:val="right"/>
                  </w:pPr>
                  <w:r>
                    <w:t>November, 2013</w:t>
                  </w:r>
                </w:p>
              </w:tc>
            </w:tr>
          </w:tbl>
          <w:p w:rsidR="004C63FE" w:rsidRDefault="004C63FE" w:rsidP="008C2436">
            <w:pPr>
              <w:rPr>
                <w:sz w:val="36"/>
                <w:szCs w:val="36"/>
              </w:rPr>
            </w:pPr>
          </w:p>
        </w:tc>
      </w:tr>
      <w:tr w:rsidR="004C63FE" w:rsidTr="00876695">
        <w:trPr>
          <w:trHeight w:val="1060"/>
        </w:trPr>
        <w:tc>
          <w:tcPr>
            <w:tcW w:w="10296" w:type="dxa"/>
            <w:vAlign w:val="center"/>
          </w:tcPr>
          <w:p w:rsidR="004C63FE" w:rsidRPr="00AB4B1A" w:rsidRDefault="00F316A6" w:rsidP="00876695">
            <w:pPr>
              <w:jc w:val="center"/>
              <w:rPr>
                <w:sz w:val="40"/>
                <w:szCs w:val="40"/>
              </w:rPr>
            </w:pPr>
            <w:proofErr w:type="spellStart"/>
            <w:r>
              <w:rPr>
                <w:sz w:val="40"/>
                <w:szCs w:val="40"/>
              </w:rPr>
              <w:t>aLIGO</w:t>
            </w:r>
            <w:proofErr w:type="spellEnd"/>
            <w:r>
              <w:rPr>
                <w:sz w:val="40"/>
                <w:szCs w:val="40"/>
              </w:rPr>
              <w:t xml:space="preserve"> PSL VCO Amplifier Assembly Instructions</w:t>
            </w:r>
          </w:p>
        </w:tc>
      </w:tr>
      <w:tr w:rsidR="004C63FE" w:rsidTr="008C2436">
        <w:trPr>
          <w:trHeight w:val="700"/>
        </w:trPr>
        <w:tc>
          <w:tcPr>
            <w:tcW w:w="10296" w:type="dxa"/>
            <w:vAlign w:val="center"/>
          </w:tcPr>
          <w:p w:rsidR="004C63FE" w:rsidRPr="008540E9" w:rsidRDefault="008C2436" w:rsidP="008C2436">
            <w:pPr>
              <w:jc w:val="center"/>
            </w:pPr>
            <w:r>
              <w:t>Peter King</w:t>
            </w:r>
          </w:p>
        </w:tc>
      </w:tr>
    </w:tbl>
    <w:p w:rsidR="004C63FE" w:rsidRDefault="004C63FE" w:rsidP="004C63FE"/>
    <w:p w:rsidR="004C63FE" w:rsidRPr="00AB4B1A" w:rsidRDefault="004C63FE" w:rsidP="004C63FE">
      <w:pPr>
        <w:spacing w:line="240" w:lineRule="auto"/>
        <w:jc w:val="center"/>
        <w:rPr>
          <w:sz w:val="24"/>
          <w:szCs w:val="24"/>
        </w:rPr>
      </w:pPr>
      <w:r w:rsidRPr="00AB4B1A">
        <w:rPr>
          <w:sz w:val="24"/>
          <w:szCs w:val="24"/>
        </w:rPr>
        <w:t>Distribution of this document:</w:t>
      </w:r>
    </w:p>
    <w:p w:rsidR="004C63FE" w:rsidRPr="00AB4B1A" w:rsidRDefault="004C63FE" w:rsidP="004C63FE">
      <w:pPr>
        <w:spacing w:line="240" w:lineRule="auto"/>
        <w:jc w:val="center"/>
        <w:rPr>
          <w:sz w:val="24"/>
          <w:szCs w:val="24"/>
        </w:rPr>
      </w:pPr>
      <w:r w:rsidRPr="00AB4B1A">
        <w:rPr>
          <w:sz w:val="24"/>
          <w:szCs w:val="24"/>
        </w:rPr>
        <w:t>LIGO Scientific Collaboration</w:t>
      </w:r>
    </w:p>
    <w:p w:rsidR="004C63FE" w:rsidRPr="00AB4B1A" w:rsidRDefault="004C63FE" w:rsidP="004C63FE"/>
    <w:p w:rsidR="004C63FE" w:rsidRDefault="004C63FE" w:rsidP="004C63FE">
      <w:pPr>
        <w:spacing w:line="240" w:lineRule="auto"/>
        <w:jc w:val="center"/>
      </w:pPr>
      <w:r>
        <w:t>This is an internal working note</w:t>
      </w:r>
      <w:r>
        <w:br/>
        <w:t>of the LIGO Laboratory.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C63FE" w:rsidTr="008C2436">
        <w:tc>
          <w:tcPr>
            <w:tcW w:w="5148" w:type="dxa"/>
          </w:tcPr>
          <w:p w:rsidR="00F316A6" w:rsidRPr="00A92BE2" w:rsidRDefault="00F316A6" w:rsidP="00F316A6">
            <w:pPr>
              <w:jc w:val="center"/>
              <w:rPr>
                <w:b/>
              </w:rPr>
            </w:pPr>
            <w:r w:rsidRPr="00A92BE2">
              <w:rPr>
                <w:b/>
              </w:rPr>
              <w:t>California Institute of Technology</w:t>
            </w:r>
          </w:p>
          <w:p w:rsidR="00F316A6" w:rsidRPr="00A92BE2" w:rsidRDefault="00F316A6" w:rsidP="00F316A6">
            <w:pPr>
              <w:jc w:val="center"/>
              <w:rPr>
                <w:b/>
              </w:rPr>
            </w:pPr>
            <w:r w:rsidRPr="00A92BE2">
              <w:rPr>
                <w:b/>
              </w:rPr>
              <w:t>LIGO Project, MS 18-34</w:t>
            </w:r>
          </w:p>
          <w:p w:rsidR="00F316A6" w:rsidRPr="00A92BE2" w:rsidRDefault="00F316A6" w:rsidP="00F316A6">
            <w:pPr>
              <w:jc w:val="center"/>
              <w:rPr>
                <w:b/>
              </w:rPr>
            </w:pPr>
            <w:r w:rsidRPr="00A92BE2">
              <w:rPr>
                <w:b/>
              </w:rPr>
              <w:t>1200 E. California Blvd.</w:t>
            </w:r>
          </w:p>
          <w:p w:rsidR="00F316A6" w:rsidRPr="00A92BE2" w:rsidRDefault="00F316A6" w:rsidP="00F316A6">
            <w:pPr>
              <w:jc w:val="center"/>
              <w:rPr>
                <w:b/>
              </w:rPr>
            </w:pPr>
            <w:r w:rsidRPr="00A92BE2">
              <w:rPr>
                <w:b/>
              </w:rPr>
              <w:t>Pasadena, CA 91125</w:t>
            </w:r>
          </w:p>
          <w:p w:rsidR="00F316A6" w:rsidRDefault="00F316A6" w:rsidP="00F316A6">
            <w:pPr>
              <w:jc w:val="center"/>
            </w:pPr>
            <w:r>
              <w:t>Phone: (626) 395-2129</w:t>
            </w:r>
          </w:p>
          <w:p w:rsidR="00F316A6" w:rsidRDefault="00F316A6" w:rsidP="00F316A6">
            <w:pPr>
              <w:jc w:val="center"/>
            </w:pPr>
            <w:r>
              <w:t>FAX: (626) 304-9834</w:t>
            </w:r>
          </w:p>
          <w:p w:rsidR="00F316A6" w:rsidRDefault="00F316A6" w:rsidP="00F316A6">
            <w:pPr>
              <w:jc w:val="center"/>
            </w:pPr>
            <w:r>
              <w:t xml:space="preserve">E-mail: </w:t>
            </w:r>
            <w:hyperlink r:id="rId9" w:history="1">
              <w:r w:rsidRPr="004E7456">
                <w:rPr>
                  <w:rStyle w:val="Hyperlink"/>
                </w:rPr>
                <w:t>info@ligo.caltech.edu</w:t>
              </w:r>
            </w:hyperlink>
          </w:p>
          <w:p w:rsidR="004C63FE" w:rsidRDefault="004C63FE" w:rsidP="008C2436">
            <w:pPr>
              <w:jc w:val="center"/>
            </w:pPr>
          </w:p>
        </w:tc>
        <w:tc>
          <w:tcPr>
            <w:tcW w:w="5148" w:type="dxa"/>
          </w:tcPr>
          <w:p w:rsidR="00F316A6" w:rsidRPr="00A92BE2" w:rsidRDefault="00F316A6" w:rsidP="00F316A6">
            <w:pPr>
              <w:jc w:val="center"/>
              <w:rPr>
                <w:b/>
              </w:rPr>
            </w:pPr>
            <w:r w:rsidRPr="00A92BE2">
              <w:rPr>
                <w:b/>
              </w:rPr>
              <w:t>Massachusetts Institute of Technology</w:t>
            </w:r>
          </w:p>
          <w:p w:rsidR="00F316A6" w:rsidRPr="00A92BE2" w:rsidRDefault="00F316A6" w:rsidP="00F316A6">
            <w:pPr>
              <w:jc w:val="center"/>
              <w:rPr>
                <w:b/>
              </w:rPr>
            </w:pPr>
            <w:r w:rsidRPr="00A92BE2">
              <w:rPr>
                <w:b/>
              </w:rPr>
              <w:t>LIGO Project, NW22-295</w:t>
            </w:r>
          </w:p>
          <w:p w:rsidR="00F316A6" w:rsidRPr="00A92BE2" w:rsidRDefault="00F316A6" w:rsidP="00F316A6">
            <w:pPr>
              <w:jc w:val="center"/>
              <w:rPr>
                <w:b/>
              </w:rPr>
            </w:pPr>
            <w:r w:rsidRPr="00A92BE2">
              <w:rPr>
                <w:b/>
              </w:rPr>
              <w:t>185 Albany St.</w:t>
            </w:r>
          </w:p>
          <w:p w:rsidR="00F316A6" w:rsidRPr="00A92BE2" w:rsidRDefault="00F316A6" w:rsidP="00F316A6">
            <w:pPr>
              <w:jc w:val="center"/>
              <w:rPr>
                <w:b/>
              </w:rPr>
            </w:pPr>
            <w:r w:rsidRPr="00A92BE2">
              <w:rPr>
                <w:b/>
              </w:rPr>
              <w:t>Cambridge, MA 02139</w:t>
            </w:r>
          </w:p>
          <w:p w:rsidR="00F316A6" w:rsidRDefault="00F316A6" w:rsidP="00F316A6">
            <w:pPr>
              <w:jc w:val="center"/>
            </w:pPr>
            <w:r>
              <w:t>Phone: (617) 253-4824</w:t>
            </w:r>
          </w:p>
          <w:p w:rsidR="00F316A6" w:rsidRDefault="00F316A6" w:rsidP="00F316A6">
            <w:pPr>
              <w:jc w:val="center"/>
            </w:pPr>
            <w:r>
              <w:t>FAX: (617) 253-7014</w:t>
            </w:r>
          </w:p>
          <w:p w:rsidR="00F316A6" w:rsidRDefault="00F316A6" w:rsidP="00F316A6">
            <w:pPr>
              <w:jc w:val="center"/>
            </w:pPr>
            <w:r>
              <w:t xml:space="preserve">E-mail: </w:t>
            </w:r>
            <w:hyperlink r:id="rId10" w:history="1">
              <w:r w:rsidRPr="004E7456">
                <w:rPr>
                  <w:rStyle w:val="Hyperlink"/>
                </w:rPr>
                <w:t>info@ligo.mit.edu</w:t>
              </w:r>
            </w:hyperlink>
          </w:p>
          <w:p w:rsidR="004C63FE" w:rsidRDefault="004C63FE" w:rsidP="00F316A6">
            <w:pPr>
              <w:jc w:val="center"/>
            </w:pPr>
          </w:p>
        </w:tc>
      </w:tr>
      <w:tr w:rsidR="004C63FE" w:rsidTr="008C2436">
        <w:tc>
          <w:tcPr>
            <w:tcW w:w="5148" w:type="dxa"/>
          </w:tcPr>
          <w:p w:rsidR="004C63FE" w:rsidRDefault="004C63FE" w:rsidP="008C2436">
            <w:pPr>
              <w:jc w:val="center"/>
            </w:pPr>
          </w:p>
        </w:tc>
        <w:tc>
          <w:tcPr>
            <w:tcW w:w="5148" w:type="dxa"/>
          </w:tcPr>
          <w:p w:rsidR="004C63FE" w:rsidRDefault="004C63FE" w:rsidP="00F316A6">
            <w:pPr>
              <w:jc w:val="center"/>
            </w:pPr>
          </w:p>
        </w:tc>
      </w:tr>
      <w:tr w:rsidR="004C63FE" w:rsidTr="008C2436">
        <w:tc>
          <w:tcPr>
            <w:tcW w:w="5148" w:type="dxa"/>
          </w:tcPr>
          <w:p w:rsidR="004C63FE" w:rsidRPr="00A92BE2" w:rsidRDefault="004C63FE" w:rsidP="008C2436">
            <w:pPr>
              <w:jc w:val="center"/>
              <w:rPr>
                <w:b/>
              </w:rPr>
            </w:pPr>
            <w:r w:rsidRPr="00A92BE2">
              <w:rPr>
                <w:b/>
              </w:rPr>
              <w:t>LIGO Hanford Observatory</w:t>
            </w:r>
          </w:p>
          <w:p w:rsidR="004C63FE" w:rsidRPr="00A92BE2" w:rsidRDefault="004C63FE" w:rsidP="008C2436">
            <w:pPr>
              <w:jc w:val="center"/>
              <w:rPr>
                <w:b/>
              </w:rPr>
            </w:pPr>
            <w:r w:rsidRPr="00A92BE2">
              <w:rPr>
                <w:b/>
              </w:rPr>
              <w:t>P.O. Box 159</w:t>
            </w:r>
          </w:p>
          <w:p w:rsidR="004C63FE" w:rsidRPr="00A92BE2" w:rsidRDefault="004C63FE" w:rsidP="008C2436">
            <w:pPr>
              <w:jc w:val="center"/>
              <w:rPr>
                <w:b/>
              </w:rPr>
            </w:pPr>
            <w:r w:rsidRPr="00A92BE2">
              <w:rPr>
                <w:b/>
              </w:rPr>
              <w:t>Richland, WA 99352</w:t>
            </w:r>
          </w:p>
          <w:p w:rsidR="004C63FE" w:rsidRDefault="004C63FE" w:rsidP="008C2436">
            <w:pPr>
              <w:jc w:val="center"/>
            </w:pPr>
            <w:r>
              <w:t>Phone: (509) 372-8106</w:t>
            </w:r>
          </w:p>
          <w:p w:rsidR="004C63FE" w:rsidRDefault="004C63FE" w:rsidP="008C2436">
            <w:pPr>
              <w:jc w:val="center"/>
            </w:pPr>
            <w:r>
              <w:t>FAX: (509) 372-8137</w:t>
            </w:r>
          </w:p>
        </w:tc>
        <w:tc>
          <w:tcPr>
            <w:tcW w:w="5148" w:type="dxa"/>
          </w:tcPr>
          <w:p w:rsidR="004C63FE" w:rsidRPr="00A92BE2" w:rsidRDefault="004C63FE" w:rsidP="008C2436">
            <w:pPr>
              <w:jc w:val="center"/>
              <w:rPr>
                <w:b/>
              </w:rPr>
            </w:pPr>
            <w:r w:rsidRPr="00A92BE2">
              <w:rPr>
                <w:b/>
              </w:rPr>
              <w:t>LIGO Livingston Observatory</w:t>
            </w:r>
          </w:p>
          <w:p w:rsidR="004C63FE" w:rsidRPr="00A92BE2" w:rsidRDefault="004C63FE" w:rsidP="008C2436">
            <w:pPr>
              <w:jc w:val="center"/>
              <w:rPr>
                <w:b/>
              </w:rPr>
            </w:pPr>
            <w:r w:rsidRPr="00A92BE2">
              <w:rPr>
                <w:b/>
              </w:rPr>
              <w:t>P.O. Box 940</w:t>
            </w:r>
          </w:p>
          <w:p w:rsidR="004C63FE" w:rsidRPr="00A92BE2" w:rsidRDefault="004C63FE" w:rsidP="008C2436">
            <w:pPr>
              <w:jc w:val="center"/>
              <w:rPr>
                <w:b/>
              </w:rPr>
            </w:pPr>
            <w:r w:rsidRPr="00A92BE2">
              <w:rPr>
                <w:b/>
              </w:rPr>
              <w:t>Livingston, LA 70754</w:t>
            </w:r>
          </w:p>
          <w:p w:rsidR="004C63FE" w:rsidRDefault="004C63FE" w:rsidP="008C2436">
            <w:pPr>
              <w:jc w:val="center"/>
            </w:pPr>
            <w:r>
              <w:t>Phone: (225) 686-3100</w:t>
            </w:r>
          </w:p>
          <w:p w:rsidR="004C63FE" w:rsidRDefault="004C63FE" w:rsidP="008C2436">
            <w:pPr>
              <w:jc w:val="center"/>
            </w:pPr>
            <w:r>
              <w:t>FAX: (225) 686-7189</w:t>
            </w:r>
          </w:p>
        </w:tc>
      </w:tr>
    </w:tbl>
    <w:p w:rsidR="004C63FE" w:rsidRDefault="004C63FE" w:rsidP="004C63FE">
      <w:pPr>
        <w:jc w:val="center"/>
      </w:pPr>
    </w:p>
    <w:p w:rsidR="00F316A6" w:rsidRDefault="00F316A6" w:rsidP="004C63FE">
      <w:pPr>
        <w:jc w:val="center"/>
      </w:pPr>
    </w:p>
    <w:p w:rsidR="00F316A6" w:rsidRDefault="00F316A6" w:rsidP="004C63FE">
      <w:pPr>
        <w:jc w:val="center"/>
      </w:pPr>
    </w:p>
    <w:p w:rsidR="00F316A6" w:rsidRDefault="00F316A6" w:rsidP="004C63FE">
      <w:pPr>
        <w:jc w:val="center"/>
      </w:pPr>
    </w:p>
    <w:p w:rsidR="00F316A6" w:rsidRDefault="00F316A6" w:rsidP="004C63FE">
      <w:pPr>
        <w:jc w:val="center"/>
      </w:pPr>
    </w:p>
    <w:p w:rsidR="004C63FE" w:rsidRDefault="00585CCB" w:rsidP="004C63FE">
      <w:pPr>
        <w:jc w:val="center"/>
      </w:pPr>
      <w:hyperlink r:id="rId11" w:history="1">
        <w:r w:rsidR="004C63FE" w:rsidRPr="004E7456">
          <w:rPr>
            <w:rStyle w:val="Hyperlink"/>
          </w:rPr>
          <w:t>http://www.ligo.caltech.edu</w:t>
        </w:r>
      </w:hyperlink>
    </w:p>
    <w:p w:rsidR="005357C3" w:rsidRDefault="00EC61C2" w:rsidP="004B5740">
      <w:pPr>
        <w:pStyle w:val="Heading1"/>
      </w:pPr>
      <w:r>
        <w:lastRenderedPageBreak/>
        <w:t>Scope</w:t>
      </w:r>
    </w:p>
    <w:p w:rsidR="003F3A95" w:rsidRDefault="00C0733D" w:rsidP="00C0733D">
      <w:r>
        <w:t xml:space="preserve">This document lists the steps required to assemble the </w:t>
      </w:r>
      <w:proofErr w:type="spellStart"/>
      <w:r>
        <w:t>aLIGO</w:t>
      </w:r>
      <w:proofErr w:type="spellEnd"/>
      <w:r>
        <w:t xml:space="preserve"> PSL VCO Amplifier (D1201423-v1).</w:t>
      </w:r>
      <w:r w:rsidR="00EC61C2">
        <w:t xml:space="preserve">  It assumes that the person assembling the chassis is authorized and trained in the safe use of hand tools and electronics tools.</w:t>
      </w:r>
    </w:p>
    <w:p w:rsidR="00094C4A" w:rsidRDefault="00094C4A" w:rsidP="00094C4A">
      <w:pPr>
        <w:pStyle w:val="Heading1"/>
      </w:pPr>
      <w:r>
        <w:t>Fabrication of the Type N Cable</w:t>
      </w:r>
    </w:p>
    <w:p w:rsidR="00094C4A" w:rsidRDefault="00094C4A" w:rsidP="00094C4A">
      <w:r>
        <w:t>Cut the LMR-195-FR cable to length as per D1201427.  Strip each end of the cable as per the dimensions given in</w:t>
      </w:r>
      <w:r w:rsidR="008B6700">
        <w:t xml:space="preserve"> </w:t>
      </w:r>
      <w:r>
        <w:fldChar w:fldCharType="begin"/>
      </w:r>
      <w:r>
        <w:instrText xml:space="preserve"> REF _Ref372795676 \h </w:instrText>
      </w:r>
      <w:r>
        <w:fldChar w:fldCharType="separate"/>
      </w:r>
      <w:r>
        <w:t xml:space="preserve">Figure </w:t>
      </w:r>
      <w:r>
        <w:rPr>
          <w:noProof/>
        </w:rPr>
        <w:t>1</w:t>
      </w:r>
      <w:r>
        <w:fldChar w:fldCharType="end"/>
      </w:r>
      <w:r>
        <w:t>.</w:t>
      </w:r>
    </w:p>
    <w:p w:rsidR="00094C4A" w:rsidRDefault="00094C4A" w:rsidP="00094C4A">
      <w:pPr>
        <w:jc w:val="center"/>
      </w:pPr>
      <w:r>
        <w:rPr>
          <w:noProof/>
          <w:lang w:val="en-GB" w:eastAsia="en-GB"/>
        </w:rPr>
        <w:drawing>
          <wp:inline distT="0" distB="0" distL="0" distR="0" wp14:anchorId="461B0FEC" wp14:editId="173EA3FC">
            <wp:extent cx="2639568" cy="11887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1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9568" cy="1188720"/>
                    </a:xfrm>
                    <a:prstGeom prst="rect">
                      <a:avLst/>
                    </a:prstGeom>
                  </pic:spPr>
                </pic:pic>
              </a:graphicData>
            </a:graphic>
          </wp:inline>
        </w:drawing>
      </w:r>
    </w:p>
    <w:p w:rsidR="00094C4A" w:rsidRPr="00BF1727" w:rsidRDefault="00094C4A" w:rsidP="00094C4A">
      <w:pPr>
        <w:pStyle w:val="Caption"/>
        <w:ind w:left="720" w:right="720"/>
        <w:rPr>
          <w:b w:val="0"/>
        </w:rPr>
      </w:pPr>
      <w:bookmarkStart w:id="0" w:name="_Ref372795676"/>
      <w:proofErr w:type="gramStart"/>
      <w:r w:rsidRPr="00BF1727">
        <w:rPr>
          <w:b w:val="0"/>
        </w:rPr>
        <w:t xml:space="preserve">Figure </w:t>
      </w:r>
      <w:r w:rsidRPr="00BF1727">
        <w:rPr>
          <w:b w:val="0"/>
        </w:rPr>
        <w:fldChar w:fldCharType="begin"/>
      </w:r>
      <w:r w:rsidRPr="00BF1727">
        <w:rPr>
          <w:b w:val="0"/>
        </w:rPr>
        <w:instrText xml:space="preserve"> SEQ Figure \* ARABIC </w:instrText>
      </w:r>
      <w:r w:rsidRPr="00BF1727">
        <w:rPr>
          <w:b w:val="0"/>
        </w:rPr>
        <w:fldChar w:fldCharType="separate"/>
      </w:r>
      <w:r w:rsidR="00983B1F">
        <w:rPr>
          <w:b w:val="0"/>
          <w:noProof/>
        </w:rPr>
        <w:t>1</w:t>
      </w:r>
      <w:r w:rsidRPr="00BF1727">
        <w:rPr>
          <w:b w:val="0"/>
        </w:rPr>
        <w:fldChar w:fldCharType="end"/>
      </w:r>
      <w:bookmarkEnd w:id="0"/>
      <w:r w:rsidRPr="00BF1727">
        <w:rPr>
          <w:b w:val="0"/>
        </w:rPr>
        <w:t>.</w:t>
      </w:r>
      <w:proofErr w:type="gramEnd"/>
      <w:r w:rsidRPr="00BF1727">
        <w:rPr>
          <w:b w:val="0"/>
        </w:rPr>
        <w:t xml:space="preserve">  </w:t>
      </w:r>
      <w:proofErr w:type="gramStart"/>
      <w:r w:rsidRPr="00BF1727">
        <w:rPr>
          <w:b w:val="0"/>
        </w:rPr>
        <w:t>Cable stripping dimensions for the N connectors.</w:t>
      </w:r>
      <w:proofErr w:type="gramEnd"/>
      <w:r w:rsidRPr="00BF1727">
        <w:rPr>
          <w:b w:val="0"/>
        </w:rPr>
        <w:t xml:space="preserve">  The dimensions listed are </w:t>
      </w:r>
      <w:proofErr w:type="gramStart"/>
      <w:r w:rsidRPr="00BF1727">
        <w:rPr>
          <w:b w:val="0"/>
        </w:rPr>
        <w:t>metric,</w:t>
      </w:r>
      <w:proofErr w:type="gramEnd"/>
      <w:r w:rsidRPr="00BF1727">
        <w:rPr>
          <w:b w:val="0"/>
        </w:rPr>
        <w:t xml:space="preserve"> those enclosed within the brackets are imperial.</w:t>
      </w:r>
    </w:p>
    <w:p w:rsidR="00094C4A" w:rsidRDefault="008B6700" w:rsidP="00094C4A">
      <w:r>
        <w:tab/>
        <w:t xml:space="preserve">Insert the </w:t>
      </w:r>
      <w:proofErr w:type="spellStart"/>
      <w:r>
        <w:t>centre</w:t>
      </w:r>
      <w:proofErr w:type="spellEnd"/>
      <w:r>
        <w:t xml:space="preserve"> conductor of the cable into the contact pin and solder on the cable.  Then slide the ferrule onto the cable.  Insert the main body into the braid and dielectric.  Slide the ferrule over the braid and crimp it using the 0.213</w:t>
      </w:r>
      <w:r w:rsidR="00983B1F">
        <w:t>”</w:t>
      </w:r>
      <w:r>
        <w:t xml:space="preserve"> </w:t>
      </w:r>
      <w:proofErr w:type="gramStart"/>
      <w:r>
        <w:t>die</w:t>
      </w:r>
      <w:proofErr w:type="gramEnd"/>
      <w:r>
        <w:t xml:space="preserve"> size of the Amphenol </w:t>
      </w:r>
      <w:proofErr w:type="spellStart"/>
      <w:r>
        <w:t>Connex</w:t>
      </w:r>
      <w:proofErr w:type="spellEnd"/>
      <w:r>
        <w:t xml:space="preserve"> ratcheting hand crimp tool (P/N 47-10180).</w:t>
      </w:r>
    </w:p>
    <w:p w:rsidR="008B6700" w:rsidRDefault="008B6700" w:rsidP="00094C4A">
      <w:r>
        <w:tab/>
        <w:t xml:space="preserve">Check the continuity of the cable </w:t>
      </w:r>
      <w:proofErr w:type="spellStart"/>
      <w:r>
        <w:t>centre</w:t>
      </w:r>
      <w:proofErr w:type="spellEnd"/>
      <w:r>
        <w:t xml:space="preserve"> conductor and shield using a </w:t>
      </w:r>
      <w:proofErr w:type="spellStart"/>
      <w:r>
        <w:t>multimeter</w:t>
      </w:r>
      <w:proofErr w:type="spellEnd"/>
      <w:r>
        <w:t xml:space="preserve">.  Check that the connection between the </w:t>
      </w:r>
      <w:proofErr w:type="spellStart"/>
      <w:r>
        <w:t>centre</w:t>
      </w:r>
      <w:proofErr w:type="spellEnd"/>
      <w:r>
        <w:t xml:space="preserve"> conductor and the shield is open circuit.</w:t>
      </w:r>
    </w:p>
    <w:p w:rsidR="008B6700" w:rsidRDefault="008B6700" w:rsidP="008B6700">
      <w:pPr>
        <w:pStyle w:val="Heading1"/>
      </w:pPr>
      <w:r>
        <w:t>Fabrication of the SMA Cable</w:t>
      </w:r>
    </w:p>
    <w:p w:rsidR="008B6700" w:rsidRDefault="008B6700" w:rsidP="008B6700">
      <w:r>
        <w:t xml:space="preserve">Cut the LMR-195-FR cable to length as per D1201428.  Strip each end of the cable as per the dimensions given in </w:t>
      </w:r>
      <w:r w:rsidR="00983B1F" w:rsidRPr="00983B1F">
        <w:fldChar w:fldCharType="begin"/>
      </w:r>
      <w:r w:rsidR="00983B1F" w:rsidRPr="00983B1F">
        <w:instrText xml:space="preserve"> REF _Ref372801451 \h  \* MERGEFORMAT </w:instrText>
      </w:r>
      <w:r w:rsidR="00983B1F" w:rsidRPr="00983B1F">
        <w:fldChar w:fldCharType="separate"/>
      </w:r>
      <w:r w:rsidR="00983B1F" w:rsidRPr="00983B1F">
        <w:t xml:space="preserve">Figure </w:t>
      </w:r>
      <w:r w:rsidR="00983B1F" w:rsidRPr="00983B1F">
        <w:rPr>
          <w:noProof/>
        </w:rPr>
        <w:t>2</w:t>
      </w:r>
      <w:r w:rsidR="00983B1F" w:rsidRPr="00983B1F">
        <w:fldChar w:fldCharType="end"/>
      </w:r>
      <w:r w:rsidR="00983B1F" w:rsidRPr="00983B1F">
        <w:t>.</w:t>
      </w:r>
    </w:p>
    <w:p w:rsidR="008B6700" w:rsidRDefault="00BF1727" w:rsidP="00BF1727">
      <w:pPr>
        <w:jc w:val="center"/>
      </w:pPr>
      <w:r>
        <w:rPr>
          <w:noProof/>
          <w:lang w:val="en-GB" w:eastAsia="en-GB"/>
        </w:rPr>
        <w:drawing>
          <wp:inline distT="0" distB="0" distL="0" distR="0" wp14:anchorId="2BDC363E" wp14:editId="3A19B420">
            <wp:extent cx="2697480" cy="1822704"/>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1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7480" cy="1822704"/>
                    </a:xfrm>
                    <a:prstGeom prst="rect">
                      <a:avLst/>
                    </a:prstGeom>
                  </pic:spPr>
                </pic:pic>
              </a:graphicData>
            </a:graphic>
          </wp:inline>
        </w:drawing>
      </w:r>
    </w:p>
    <w:p w:rsidR="00B6723F" w:rsidRDefault="00B6723F" w:rsidP="00BF1727">
      <w:pPr>
        <w:jc w:val="center"/>
      </w:pPr>
    </w:p>
    <w:p w:rsidR="00983B1F" w:rsidRDefault="00BF1727" w:rsidP="00BF1727">
      <w:pPr>
        <w:pStyle w:val="Caption"/>
        <w:ind w:left="720" w:right="720"/>
        <w:rPr>
          <w:b w:val="0"/>
        </w:rPr>
      </w:pPr>
      <w:bookmarkStart w:id="1" w:name="_Ref372801451"/>
      <w:proofErr w:type="gramStart"/>
      <w:r w:rsidRPr="00BF1727">
        <w:rPr>
          <w:b w:val="0"/>
        </w:rPr>
        <w:t xml:space="preserve">Figure </w:t>
      </w:r>
      <w:r w:rsidRPr="00BF1727">
        <w:rPr>
          <w:b w:val="0"/>
        </w:rPr>
        <w:fldChar w:fldCharType="begin"/>
      </w:r>
      <w:r w:rsidRPr="00BF1727">
        <w:rPr>
          <w:b w:val="0"/>
        </w:rPr>
        <w:instrText xml:space="preserve"> SEQ Figure \* ARABIC </w:instrText>
      </w:r>
      <w:r w:rsidRPr="00BF1727">
        <w:rPr>
          <w:b w:val="0"/>
        </w:rPr>
        <w:fldChar w:fldCharType="separate"/>
      </w:r>
      <w:r w:rsidR="00983B1F">
        <w:rPr>
          <w:b w:val="0"/>
          <w:noProof/>
        </w:rPr>
        <w:t>2</w:t>
      </w:r>
      <w:r w:rsidRPr="00BF1727">
        <w:rPr>
          <w:b w:val="0"/>
        </w:rPr>
        <w:fldChar w:fldCharType="end"/>
      </w:r>
      <w:bookmarkEnd w:id="1"/>
      <w:r w:rsidRPr="00BF1727">
        <w:rPr>
          <w:b w:val="0"/>
        </w:rPr>
        <w:t>.</w:t>
      </w:r>
      <w:proofErr w:type="gramEnd"/>
      <w:r w:rsidRPr="00BF1727">
        <w:rPr>
          <w:b w:val="0"/>
        </w:rPr>
        <w:t xml:space="preserve">  </w:t>
      </w:r>
      <w:proofErr w:type="gramStart"/>
      <w:r w:rsidRPr="00BF1727">
        <w:rPr>
          <w:b w:val="0"/>
        </w:rPr>
        <w:t>Cable stripping dimensions for the SMA connectors.</w:t>
      </w:r>
      <w:proofErr w:type="gramEnd"/>
      <w:r w:rsidRPr="00BF1727">
        <w:rPr>
          <w:b w:val="0"/>
        </w:rPr>
        <w:t xml:space="preserve">  The dimensions listed are </w:t>
      </w:r>
      <w:proofErr w:type="gramStart"/>
      <w:r w:rsidRPr="00BF1727">
        <w:rPr>
          <w:b w:val="0"/>
        </w:rPr>
        <w:t>metric,</w:t>
      </w:r>
      <w:proofErr w:type="gramEnd"/>
      <w:r w:rsidRPr="00BF1727">
        <w:rPr>
          <w:b w:val="0"/>
        </w:rPr>
        <w:t xml:space="preserve"> those enclosed within the brackets are imperial.</w:t>
      </w:r>
    </w:p>
    <w:p w:rsidR="008B6700" w:rsidRDefault="00983B1F" w:rsidP="00983B1F">
      <w:r>
        <w:lastRenderedPageBreak/>
        <w:tab/>
        <w:t xml:space="preserve">Slip the PTFE spacer over the </w:t>
      </w:r>
      <w:proofErr w:type="spellStart"/>
      <w:r>
        <w:t>centre</w:t>
      </w:r>
      <w:proofErr w:type="spellEnd"/>
      <w:r>
        <w:t xml:space="preserve"> conductor of the cable before inserting the </w:t>
      </w:r>
      <w:proofErr w:type="spellStart"/>
      <w:r>
        <w:t>centre</w:t>
      </w:r>
      <w:proofErr w:type="spellEnd"/>
      <w:r>
        <w:t xml:space="preserve"> conductor of the cable into the contact pin.  Solder the contact pin on the cable.  Slide the ferrule over the cable.  Insert the main body into the braid and dielectric.  One should hear a slight “click” that signifies that the main body and </w:t>
      </w:r>
      <w:proofErr w:type="spellStart"/>
      <w:r>
        <w:t>centre</w:t>
      </w:r>
      <w:proofErr w:type="spellEnd"/>
      <w:r>
        <w:t xml:space="preserve"> pin are engaged properly.  Slide the ferrule over the braid and crimp it using the 0.213” die size.  The parts assembly order is shown in </w:t>
      </w:r>
      <w:r>
        <w:fldChar w:fldCharType="begin"/>
      </w:r>
      <w:r w:rsidRPr="00983B1F">
        <w:instrText xml:space="preserve"> REF _Ref372801423 \h </w:instrText>
      </w:r>
      <w:r>
        <w:instrText xml:space="preserve"> \* MERGEFORMAT </w:instrText>
      </w:r>
      <w:r>
        <w:fldChar w:fldCharType="separate"/>
      </w:r>
      <w:r w:rsidRPr="00983B1F">
        <w:t>Figure</w:t>
      </w:r>
      <w:r w:rsidRPr="00983B1F">
        <w:rPr>
          <w:b/>
        </w:rPr>
        <w:t xml:space="preserve"> </w:t>
      </w:r>
      <w:r w:rsidRPr="00983B1F">
        <w:rPr>
          <w:noProof/>
        </w:rPr>
        <w:t>3</w:t>
      </w:r>
      <w:r>
        <w:fldChar w:fldCharType="end"/>
      </w:r>
      <w:r>
        <w:t>.</w:t>
      </w:r>
    </w:p>
    <w:p w:rsidR="00B6723F" w:rsidRDefault="00B6723F" w:rsidP="00983B1F"/>
    <w:p w:rsidR="00983B1F" w:rsidRDefault="00983B1F" w:rsidP="00983B1F">
      <w:pPr>
        <w:jc w:val="center"/>
      </w:pPr>
      <w:r>
        <w:rPr>
          <w:noProof/>
          <w:lang w:val="en-GB" w:eastAsia="en-GB"/>
        </w:rPr>
        <w:drawing>
          <wp:inline distT="0" distB="0" distL="0" distR="0" wp14:anchorId="5D20B425" wp14:editId="4AABD92A">
            <wp:extent cx="4568952" cy="8229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113_Par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68952" cy="822960"/>
                    </a:xfrm>
                    <a:prstGeom prst="rect">
                      <a:avLst/>
                    </a:prstGeom>
                  </pic:spPr>
                </pic:pic>
              </a:graphicData>
            </a:graphic>
          </wp:inline>
        </w:drawing>
      </w:r>
    </w:p>
    <w:p w:rsidR="00B6723F" w:rsidRDefault="00B6723F" w:rsidP="00983B1F">
      <w:pPr>
        <w:jc w:val="center"/>
      </w:pPr>
    </w:p>
    <w:p w:rsidR="00983B1F" w:rsidRPr="00983B1F" w:rsidRDefault="00983B1F" w:rsidP="00983B1F">
      <w:pPr>
        <w:pStyle w:val="Caption"/>
        <w:ind w:left="720" w:right="720"/>
        <w:rPr>
          <w:b w:val="0"/>
        </w:rPr>
      </w:pPr>
      <w:bookmarkStart w:id="2" w:name="_Ref372801423"/>
      <w:proofErr w:type="gramStart"/>
      <w:r w:rsidRPr="00983B1F">
        <w:rPr>
          <w:b w:val="0"/>
        </w:rPr>
        <w:t xml:space="preserve">Figure </w:t>
      </w:r>
      <w:r w:rsidRPr="00983B1F">
        <w:rPr>
          <w:b w:val="0"/>
        </w:rPr>
        <w:fldChar w:fldCharType="begin"/>
      </w:r>
      <w:r w:rsidRPr="00983B1F">
        <w:rPr>
          <w:b w:val="0"/>
        </w:rPr>
        <w:instrText xml:space="preserve"> SEQ Figure \* ARABIC </w:instrText>
      </w:r>
      <w:r w:rsidRPr="00983B1F">
        <w:rPr>
          <w:b w:val="0"/>
        </w:rPr>
        <w:fldChar w:fldCharType="separate"/>
      </w:r>
      <w:r w:rsidRPr="00983B1F">
        <w:rPr>
          <w:b w:val="0"/>
          <w:noProof/>
        </w:rPr>
        <w:t>3</w:t>
      </w:r>
      <w:r w:rsidRPr="00983B1F">
        <w:rPr>
          <w:b w:val="0"/>
        </w:rPr>
        <w:fldChar w:fldCharType="end"/>
      </w:r>
      <w:bookmarkEnd w:id="2"/>
      <w:r w:rsidRPr="00983B1F">
        <w:rPr>
          <w:b w:val="0"/>
        </w:rPr>
        <w:t>.</w:t>
      </w:r>
      <w:proofErr w:type="gramEnd"/>
      <w:r w:rsidRPr="00983B1F">
        <w:rPr>
          <w:b w:val="0"/>
        </w:rPr>
        <w:t xml:space="preserve">  Parts of the SMA connector.</w:t>
      </w:r>
    </w:p>
    <w:p w:rsidR="00983B1F" w:rsidRDefault="00881455" w:rsidP="00881455">
      <w:pPr>
        <w:pStyle w:val="Heading1"/>
      </w:pPr>
      <w:r>
        <w:t>Chassis Mounting Holes</w:t>
      </w:r>
    </w:p>
    <w:p w:rsidR="00881455" w:rsidRDefault="00881455" w:rsidP="00881455">
      <w:r>
        <w:t>Mark the positions of the mounting holes as per D1201426.  Drill and tap through for 4-40 UNC threads.  The tap drill for 4-40 is a #43 (</w:t>
      </w:r>
      <w:r w:rsidR="001932B1">
        <w:t>0.089 in.)</w:t>
      </w:r>
      <w:r w:rsidR="00551AB4">
        <w:t xml:space="preserve"> drill</w:t>
      </w:r>
      <w:r w:rsidR="001932B1">
        <w:t>.</w:t>
      </w:r>
    </w:p>
    <w:p w:rsidR="001932B1" w:rsidRDefault="001932B1" w:rsidP="001932B1">
      <w:pPr>
        <w:pStyle w:val="Heading1"/>
      </w:pPr>
      <w:r>
        <w:t>Power Connections</w:t>
      </w:r>
    </w:p>
    <w:p w:rsidR="001932B1" w:rsidRPr="001932B1" w:rsidRDefault="00D570A2" w:rsidP="001932B1">
      <w:r>
        <w:t xml:space="preserve">Cut off a white </w:t>
      </w:r>
      <w:proofErr w:type="spellStart"/>
      <w:r>
        <w:t>coloured</w:t>
      </w:r>
      <w:proofErr w:type="spellEnd"/>
      <w:r>
        <w:t xml:space="preserve"> piece of hook wire (D1301002) and a black </w:t>
      </w:r>
      <w:proofErr w:type="spellStart"/>
      <w:r>
        <w:t>coloured</w:t>
      </w:r>
      <w:proofErr w:type="spellEnd"/>
      <w:r>
        <w:t xml:space="preserve"> piece of hook up wire (D1301003).  Using a pair of wire strippers, remove about ~7/16” of the insulation from each end of the wire.  At one en</w:t>
      </w:r>
      <w:r w:rsidR="00C25787">
        <w:t xml:space="preserve">d crimp on a </w:t>
      </w:r>
      <w:proofErr w:type="spellStart"/>
      <w:r w:rsidR="00C25787">
        <w:t>Scotchlok</w:t>
      </w:r>
      <w:proofErr w:type="spellEnd"/>
      <w:r w:rsidR="00C25787">
        <w:t xml:space="preserve"> terminal using a 3M TR-490 crimp tool.  Do this for both pieces of wire.  Tin the other end of the wire with some solder.  Slide some heat shrink tubing over the end of the wire prior to soldering the tinned end of the wire into the power D-sub connector.</w:t>
      </w:r>
    </w:p>
    <w:p w:rsidR="001932B1" w:rsidRDefault="001932B1" w:rsidP="001932B1">
      <w:pPr>
        <w:pStyle w:val="Heading1"/>
      </w:pPr>
      <w:r>
        <w:t>Assembly</w:t>
      </w:r>
    </w:p>
    <w:p w:rsidR="00DE5C88" w:rsidRDefault="00DE5C88" w:rsidP="00DE5C88">
      <w:r>
        <w:t>Assemble the front and rear panels</w:t>
      </w:r>
      <w:r w:rsidR="00BA1510">
        <w:t>, see D1201514 for the overall layout of the assembly;</w:t>
      </w:r>
      <w:r>
        <w:t xml:space="preserve"> </w:t>
      </w:r>
      <w:r w:rsidR="00BA1510">
        <w:t>t</w:t>
      </w:r>
      <w:r>
        <w:t>he front panel with its bulkhead mount type N connector and SMA connector</w:t>
      </w:r>
      <w:r w:rsidR="00BA1510">
        <w:t>,</w:t>
      </w:r>
      <w:r>
        <w:t xml:space="preserve"> </w:t>
      </w:r>
      <w:r w:rsidR="00BA1510">
        <w:t>t</w:t>
      </w:r>
      <w:r>
        <w:t>he rear panel with the thermal circuit breaker and power D-sub connector.</w:t>
      </w:r>
      <w:r w:rsidR="00BA1510">
        <w:t xml:space="preserve">  Solder the ground connection from the </w:t>
      </w:r>
      <w:proofErr w:type="spellStart"/>
      <w:r w:rsidR="00BA1510">
        <w:t>centre</w:t>
      </w:r>
      <w:proofErr w:type="spellEnd"/>
      <w:r w:rsidR="00BA1510">
        <w:t xml:space="preserve"> pin of the power D-sub to the turret mount of the Mini-Circuits ZHL-1-2W amplifier.  Solder the power connection – the white wire – to the sharp pointed terminal mounted on the amplifier.</w:t>
      </w:r>
      <w:bookmarkStart w:id="3" w:name="_GoBack"/>
      <w:bookmarkEnd w:id="3"/>
    </w:p>
    <w:p w:rsidR="00DE5C88" w:rsidRDefault="00DE5C88" w:rsidP="00DE5C88">
      <w:r>
        <w:tab/>
        <w:t xml:space="preserve">Mount the amplifier into the 2U chassis.  At the input to the amplifier, connect the UNAT-6+ attenuator.  For all the type N connections, do not use more than 15 </w:t>
      </w:r>
      <w:proofErr w:type="spellStart"/>
      <w:r>
        <w:t>lb</w:t>
      </w:r>
      <w:proofErr w:type="spellEnd"/>
      <w:r>
        <w:t>-in torque to tighten the connections.  Attach the type N elbow fitting to the attenuator.</w:t>
      </w:r>
    </w:p>
    <w:p w:rsidR="00DE5C88" w:rsidRDefault="00DE5C88" w:rsidP="00DE5C88">
      <w:r>
        <w:tab/>
        <w:t xml:space="preserve">At the output of the amplifier connect the VAT-2W2+ attenuator.  For all SMA </w:t>
      </w:r>
      <w:proofErr w:type="gramStart"/>
      <w:r>
        <w:t>connections,</w:t>
      </w:r>
      <w:proofErr w:type="gramEnd"/>
      <w:r>
        <w:t xml:space="preserve"> do not use more than 15 </w:t>
      </w:r>
      <w:proofErr w:type="spellStart"/>
      <w:r>
        <w:t>lb</w:t>
      </w:r>
      <w:proofErr w:type="spellEnd"/>
      <w:r>
        <w:t>-in torque to tighten the connections.  Use of a SMA torque wrench is recommended.  Attach the SMA elbow fitting to the attenuator.</w:t>
      </w:r>
    </w:p>
    <w:p w:rsidR="00BA1510" w:rsidRPr="00DE5C88" w:rsidRDefault="00BA1510" w:rsidP="00DE5C88">
      <w:r>
        <w:tab/>
        <w:t>Attach the two LMR-195-FR cables to their respective bulkhead mounted ends prior to attaching the front panel to the chassis as this makes assembling the unit easier depending on how long the cables are made.</w:t>
      </w:r>
    </w:p>
    <w:sectPr w:rsidR="00BA1510" w:rsidRPr="00DE5C88" w:rsidSect="00586A0A">
      <w:headerReference w:type="default" r:id="rId15"/>
      <w:footerReference w:type="default" r:id="rId16"/>
      <w:headerReference w:type="first" r:id="rId17"/>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CB" w:rsidRDefault="00585CCB" w:rsidP="004C63FE">
      <w:pPr>
        <w:spacing w:after="0" w:line="240" w:lineRule="auto"/>
      </w:pPr>
      <w:r>
        <w:separator/>
      </w:r>
    </w:p>
  </w:endnote>
  <w:endnote w:type="continuationSeparator" w:id="0">
    <w:p w:rsidR="00585CCB" w:rsidRDefault="00585CCB" w:rsidP="004C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532"/>
      <w:docPartObj>
        <w:docPartGallery w:val="Page Numbers (Bottom of Page)"/>
        <w:docPartUnique/>
      </w:docPartObj>
    </w:sdtPr>
    <w:sdtEndPr/>
    <w:sdtContent>
      <w:p w:rsidR="00F05874" w:rsidRDefault="00B87C5B">
        <w:pPr>
          <w:pStyle w:val="Footer"/>
          <w:jc w:val="right"/>
        </w:pPr>
        <w:r>
          <w:fldChar w:fldCharType="begin"/>
        </w:r>
        <w:r>
          <w:instrText xml:space="preserve"> PAGE   \* MERGEFORMAT </w:instrText>
        </w:r>
        <w:r>
          <w:fldChar w:fldCharType="separate"/>
        </w:r>
        <w:r w:rsidR="00BA1510">
          <w:rPr>
            <w:noProof/>
          </w:rPr>
          <w:t>2</w:t>
        </w:r>
        <w:r>
          <w:rPr>
            <w:noProof/>
          </w:rPr>
          <w:fldChar w:fldCharType="end"/>
        </w:r>
      </w:p>
    </w:sdtContent>
  </w:sdt>
  <w:p w:rsidR="00F05874" w:rsidRDefault="00F05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CB" w:rsidRDefault="00585CCB" w:rsidP="004C63FE">
      <w:pPr>
        <w:spacing w:after="0" w:line="240" w:lineRule="auto"/>
      </w:pPr>
      <w:r>
        <w:separator/>
      </w:r>
    </w:p>
  </w:footnote>
  <w:footnote w:type="continuationSeparator" w:id="0">
    <w:p w:rsidR="00585CCB" w:rsidRDefault="00585CCB" w:rsidP="004C6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74" w:rsidRDefault="00F05874" w:rsidP="00586A0A">
    <w:pPr>
      <w:pStyle w:val="Header"/>
    </w:pPr>
    <w:proofErr w:type="spellStart"/>
    <w:proofErr w:type="gramStart"/>
    <w:r w:rsidRPr="00586A0A">
      <w:rPr>
        <w:i/>
      </w:rPr>
      <w:t>aLIGO</w:t>
    </w:r>
    <w:proofErr w:type="spellEnd"/>
    <w:proofErr w:type="gramEnd"/>
    <w:r>
      <w:tab/>
    </w:r>
    <w:r w:rsidR="00C0733D">
      <w:t>E1300889</w:t>
    </w:r>
    <w:r>
      <w:t>-v1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8298"/>
    </w:tblGrid>
    <w:tr w:rsidR="00F05874" w:rsidTr="008C2436">
      <w:tc>
        <w:tcPr>
          <w:tcW w:w="1998" w:type="dxa"/>
        </w:tcPr>
        <w:p w:rsidR="00F05874" w:rsidRDefault="00F05874" w:rsidP="008C2436">
          <w:pPr>
            <w:pStyle w:val="Header"/>
            <w:jc w:val="center"/>
          </w:pPr>
          <w:r>
            <w:rPr>
              <w:noProof/>
              <w:lang w:val="en-GB" w:eastAsia="en-GB"/>
            </w:rPr>
            <w:drawing>
              <wp:inline distT="0" distB="0" distL="0" distR="0" wp14:anchorId="455EC112" wp14:editId="5F21B5F7">
                <wp:extent cx="1085850" cy="762000"/>
                <wp:effectExtent l="19050" t="0" r="0" b="0"/>
                <wp:docPr id="2" name="Picture 0" descr="lig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ologo.gif"/>
                        <pic:cNvPicPr/>
                      </pic:nvPicPr>
                      <pic:blipFill>
                        <a:blip r:embed="rId1"/>
                        <a:stretch>
                          <a:fillRect/>
                        </a:stretch>
                      </pic:blipFill>
                      <pic:spPr>
                        <a:xfrm>
                          <a:off x="0" y="0"/>
                          <a:ext cx="1085850" cy="762000"/>
                        </a:xfrm>
                        <a:prstGeom prst="rect">
                          <a:avLst/>
                        </a:prstGeom>
                      </pic:spPr>
                    </pic:pic>
                  </a:graphicData>
                </a:graphic>
              </wp:inline>
            </w:drawing>
          </w:r>
        </w:p>
      </w:tc>
      <w:tc>
        <w:tcPr>
          <w:tcW w:w="8298" w:type="dxa"/>
        </w:tcPr>
        <w:p w:rsidR="00F05874" w:rsidRPr="008540E9" w:rsidRDefault="00F05874" w:rsidP="008C2436">
          <w:pPr>
            <w:pStyle w:val="Header"/>
            <w:jc w:val="center"/>
            <w:rPr>
              <w:b/>
              <w:sz w:val="24"/>
              <w:szCs w:val="24"/>
            </w:rPr>
          </w:pPr>
          <w:r>
            <w:rPr>
              <w:b/>
              <w:sz w:val="24"/>
              <w:szCs w:val="24"/>
            </w:rPr>
            <w:t>LASER INTERFEROMETER GRAVITATIONAL WAVE OBSERVATORY</w:t>
          </w:r>
        </w:p>
      </w:tc>
    </w:tr>
  </w:tbl>
  <w:p w:rsidR="00F05874" w:rsidRDefault="00F05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B27BE"/>
    <w:multiLevelType w:val="multilevel"/>
    <w:tmpl w:val="C9DA5B30"/>
    <w:styleLink w:val="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
    <w:nsid w:val="3A5165A6"/>
    <w:multiLevelType w:val="hybridMultilevel"/>
    <w:tmpl w:val="DDD83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D1370"/>
    <w:multiLevelType w:val="hybridMultilevel"/>
    <w:tmpl w:val="C0F63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B602F"/>
    <w:multiLevelType w:val="hybridMultilevel"/>
    <w:tmpl w:val="9C2E0AF6"/>
    <w:lvl w:ilvl="0" w:tplc="C3AAE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279EA"/>
    <w:multiLevelType w:val="hybridMultilevel"/>
    <w:tmpl w:val="032AAC24"/>
    <w:lvl w:ilvl="0" w:tplc="E696BA54">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6003A8"/>
    <w:multiLevelType w:val="multilevel"/>
    <w:tmpl w:val="C9DA5B30"/>
    <w:numStyleLink w:val="Headings"/>
  </w:abstractNum>
  <w:abstractNum w:abstractNumId="6">
    <w:nsid w:val="663252E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FE"/>
    <w:rsid w:val="0000124B"/>
    <w:rsid w:val="0000367E"/>
    <w:rsid w:val="00052B28"/>
    <w:rsid w:val="000542ED"/>
    <w:rsid w:val="00071F78"/>
    <w:rsid w:val="000748DA"/>
    <w:rsid w:val="00087685"/>
    <w:rsid w:val="00094C4A"/>
    <w:rsid w:val="000E1E9D"/>
    <w:rsid w:val="000F74C1"/>
    <w:rsid w:val="00123086"/>
    <w:rsid w:val="00133A0F"/>
    <w:rsid w:val="001448DE"/>
    <w:rsid w:val="001479B0"/>
    <w:rsid w:val="001932B1"/>
    <w:rsid w:val="001A439E"/>
    <w:rsid w:val="001B20EB"/>
    <w:rsid w:val="001B423C"/>
    <w:rsid w:val="001C0B4D"/>
    <w:rsid w:val="001C7508"/>
    <w:rsid w:val="001F7BDF"/>
    <w:rsid w:val="00200DA5"/>
    <w:rsid w:val="00220C8C"/>
    <w:rsid w:val="0022356A"/>
    <w:rsid w:val="00250007"/>
    <w:rsid w:val="002558CC"/>
    <w:rsid w:val="00256C43"/>
    <w:rsid w:val="00257190"/>
    <w:rsid w:val="002775F5"/>
    <w:rsid w:val="002A188F"/>
    <w:rsid w:val="002B1638"/>
    <w:rsid w:val="002C4645"/>
    <w:rsid w:val="002D5109"/>
    <w:rsid w:val="002E7D26"/>
    <w:rsid w:val="002F06DB"/>
    <w:rsid w:val="0030006F"/>
    <w:rsid w:val="003017C0"/>
    <w:rsid w:val="003334FD"/>
    <w:rsid w:val="00345519"/>
    <w:rsid w:val="003B2208"/>
    <w:rsid w:val="003B2583"/>
    <w:rsid w:val="003E7166"/>
    <w:rsid w:val="003F3A95"/>
    <w:rsid w:val="00403A89"/>
    <w:rsid w:val="00404940"/>
    <w:rsid w:val="004151DF"/>
    <w:rsid w:val="00425E2B"/>
    <w:rsid w:val="004277E4"/>
    <w:rsid w:val="00450854"/>
    <w:rsid w:val="004508EC"/>
    <w:rsid w:val="00462B3D"/>
    <w:rsid w:val="00466CE2"/>
    <w:rsid w:val="00494CD6"/>
    <w:rsid w:val="004A6786"/>
    <w:rsid w:val="004B5740"/>
    <w:rsid w:val="004B772F"/>
    <w:rsid w:val="004C2671"/>
    <w:rsid w:val="004C63FE"/>
    <w:rsid w:val="004E1564"/>
    <w:rsid w:val="004E17B2"/>
    <w:rsid w:val="00506F28"/>
    <w:rsid w:val="00522E0B"/>
    <w:rsid w:val="005316F7"/>
    <w:rsid w:val="005357C3"/>
    <w:rsid w:val="005360ED"/>
    <w:rsid w:val="00543EF6"/>
    <w:rsid w:val="00551AB4"/>
    <w:rsid w:val="00572C7E"/>
    <w:rsid w:val="00585CCB"/>
    <w:rsid w:val="00586A0A"/>
    <w:rsid w:val="0058755C"/>
    <w:rsid w:val="00590C0C"/>
    <w:rsid w:val="00591F2E"/>
    <w:rsid w:val="005A42ED"/>
    <w:rsid w:val="005A73DF"/>
    <w:rsid w:val="005B363E"/>
    <w:rsid w:val="005D67E6"/>
    <w:rsid w:val="005F67B9"/>
    <w:rsid w:val="006239D0"/>
    <w:rsid w:val="0063265E"/>
    <w:rsid w:val="0063596F"/>
    <w:rsid w:val="006B1E6E"/>
    <w:rsid w:val="006F66C5"/>
    <w:rsid w:val="00700DB0"/>
    <w:rsid w:val="00707C19"/>
    <w:rsid w:val="0072348B"/>
    <w:rsid w:val="00732DA6"/>
    <w:rsid w:val="00745932"/>
    <w:rsid w:val="007559ED"/>
    <w:rsid w:val="00767829"/>
    <w:rsid w:val="0077208B"/>
    <w:rsid w:val="007759A3"/>
    <w:rsid w:val="007C1D52"/>
    <w:rsid w:val="00804973"/>
    <w:rsid w:val="008252B2"/>
    <w:rsid w:val="00826D61"/>
    <w:rsid w:val="008457B1"/>
    <w:rsid w:val="00851B15"/>
    <w:rsid w:val="00856B22"/>
    <w:rsid w:val="00876695"/>
    <w:rsid w:val="00881455"/>
    <w:rsid w:val="00886042"/>
    <w:rsid w:val="00890033"/>
    <w:rsid w:val="008A7747"/>
    <w:rsid w:val="008B6700"/>
    <w:rsid w:val="008C2436"/>
    <w:rsid w:val="008C4A2A"/>
    <w:rsid w:val="0090442B"/>
    <w:rsid w:val="00942717"/>
    <w:rsid w:val="0097295E"/>
    <w:rsid w:val="00972ED5"/>
    <w:rsid w:val="00983B1F"/>
    <w:rsid w:val="009A6745"/>
    <w:rsid w:val="009B53B9"/>
    <w:rsid w:val="009B6E56"/>
    <w:rsid w:val="009C1792"/>
    <w:rsid w:val="009E122F"/>
    <w:rsid w:val="009F1B1E"/>
    <w:rsid w:val="00A12B52"/>
    <w:rsid w:val="00A13A83"/>
    <w:rsid w:val="00A43EBF"/>
    <w:rsid w:val="00A70AB2"/>
    <w:rsid w:val="00A9157B"/>
    <w:rsid w:val="00A947E0"/>
    <w:rsid w:val="00AB4CFB"/>
    <w:rsid w:val="00AD2B64"/>
    <w:rsid w:val="00AE3C34"/>
    <w:rsid w:val="00AF52EF"/>
    <w:rsid w:val="00B1702F"/>
    <w:rsid w:val="00B37823"/>
    <w:rsid w:val="00B42EA9"/>
    <w:rsid w:val="00B51F41"/>
    <w:rsid w:val="00B6723F"/>
    <w:rsid w:val="00B767D8"/>
    <w:rsid w:val="00B77F84"/>
    <w:rsid w:val="00B87C5B"/>
    <w:rsid w:val="00BA0467"/>
    <w:rsid w:val="00BA1510"/>
    <w:rsid w:val="00BC42D4"/>
    <w:rsid w:val="00BD3CB3"/>
    <w:rsid w:val="00BE0BAC"/>
    <w:rsid w:val="00BE4504"/>
    <w:rsid w:val="00BF1727"/>
    <w:rsid w:val="00BF5CFD"/>
    <w:rsid w:val="00C0733D"/>
    <w:rsid w:val="00C1276E"/>
    <w:rsid w:val="00C25787"/>
    <w:rsid w:val="00C416F5"/>
    <w:rsid w:val="00C421AC"/>
    <w:rsid w:val="00C56E92"/>
    <w:rsid w:val="00C753B7"/>
    <w:rsid w:val="00C92A8F"/>
    <w:rsid w:val="00C95871"/>
    <w:rsid w:val="00CC6F67"/>
    <w:rsid w:val="00CD519D"/>
    <w:rsid w:val="00CE5456"/>
    <w:rsid w:val="00CF1F5E"/>
    <w:rsid w:val="00D00936"/>
    <w:rsid w:val="00D14FD2"/>
    <w:rsid w:val="00D16A3A"/>
    <w:rsid w:val="00D50FB0"/>
    <w:rsid w:val="00D570A2"/>
    <w:rsid w:val="00DB1CBD"/>
    <w:rsid w:val="00DB2BA6"/>
    <w:rsid w:val="00DC07A6"/>
    <w:rsid w:val="00DE5C88"/>
    <w:rsid w:val="00DF4AF3"/>
    <w:rsid w:val="00E123E0"/>
    <w:rsid w:val="00E12966"/>
    <w:rsid w:val="00E2192E"/>
    <w:rsid w:val="00E255C1"/>
    <w:rsid w:val="00E31615"/>
    <w:rsid w:val="00E34D12"/>
    <w:rsid w:val="00E56E3A"/>
    <w:rsid w:val="00E626F3"/>
    <w:rsid w:val="00E76665"/>
    <w:rsid w:val="00EA530F"/>
    <w:rsid w:val="00EC61C2"/>
    <w:rsid w:val="00ED6402"/>
    <w:rsid w:val="00EE6934"/>
    <w:rsid w:val="00EF52FD"/>
    <w:rsid w:val="00F05874"/>
    <w:rsid w:val="00F13481"/>
    <w:rsid w:val="00F22327"/>
    <w:rsid w:val="00F24B81"/>
    <w:rsid w:val="00F316A6"/>
    <w:rsid w:val="00F31C21"/>
    <w:rsid w:val="00F34323"/>
    <w:rsid w:val="00F4749B"/>
    <w:rsid w:val="00F52B92"/>
    <w:rsid w:val="00F72D2D"/>
    <w:rsid w:val="00F81978"/>
    <w:rsid w:val="00F96114"/>
    <w:rsid w:val="00FB62C6"/>
    <w:rsid w:val="00FC46DD"/>
    <w:rsid w:val="00FE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FE"/>
  </w:style>
  <w:style w:type="paragraph" w:styleId="Heading1">
    <w:name w:val="heading 1"/>
    <w:next w:val="Normal"/>
    <w:link w:val="Heading1Char"/>
    <w:uiPriority w:val="9"/>
    <w:qFormat/>
    <w:rsid w:val="004B5740"/>
    <w:pPr>
      <w:keepNext/>
      <w:keepLines/>
      <w:numPr>
        <w:numId w:val="5"/>
      </w:numPr>
      <w:spacing w:before="240" w:after="240" w:line="240" w:lineRule="auto"/>
      <w:outlineLvl w:val="0"/>
    </w:pPr>
    <w:rPr>
      <w:rFonts w:eastAsiaTheme="majorEastAsia" w:cstheme="majorBidi"/>
      <w:b/>
      <w:bCs/>
      <w:color w:val="4B7B8A" w:themeColor="accent1" w:themeShade="BF"/>
      <w:sz w:val="28"/>
      <w:szCs w:val="28"/>
    </w:rPr>
  </w:style>
  <w:style w:type="paragraph" w:styleId="Heading2">
    <w:name w:val="heading 2"/>
    <w:basedOn w:val="Heading1"/>
    <w:next w:val="Normal"/>
    <w:link w:val="Heading2Char"/>
    <w:uiPriority w:val="9"/>
    <w:unhideWhenUsed/>
    <w:qFormat/>
    <w:rsid w:val="00C1276E"/>
    <w:pPr>
      <w:numPr>
        <w:ilvl w:val="1"/>
      </w:numPr>
      <w:spacing w:before="200" w:after="200"/>
      <w:outlineLvl w:val="1"/>
    </w:pPr>
    <w:rPr>
      <w:b w:val="0"/>
      <w:bCs w:val="0"/>
      <w:color w:val="6EA0B0" w:themeColor="accent1"/>
      <w:sz w:val="26"/>
      <w:szCs w:val="26"/>
    </w:rPr>
  </w:style>
  <w:style w:type="paragraph" w:styleId="Heading3">
    <w:name w:val="heading 3"/>
    <w:basedOn w:val="Normal"/>
    <w:next w:val="Normal"/>
    <w:link w:val="Heading3Char"/>
    <w:uiPriority w:val="9"/>
    <w:unhideWhenUsed/>
    <w:qFormat/>
    <w:rsid w:val="00DC07A6"/>
    <w:pPr>
      <w:keepNext/>
      <w:keepLines/>
      <w:numPr>
        <w:ilvl w:val="2"/>
        <w:numId w:val="5"/>
      </w:numPr>
      <w:spacing w:before="200"/>
      <w:outlineLvl w:val="2"/>
    </w:pPr>
    <w:rPr>
      <w:rFonts w:asciiTheme="majorHAnsi" w:eastAsiaTheme="majorEastAsia" w:hAnsiTheme="majorHAnsi" w:cstheme="majorBidi"/>
      <w:bCs/>
      <w:color w:val="6EA0B0" w:themeColor="accent1"/>
    </w:rPr>
  </w:style>
  <w:style w:type="paragraph" w:styleId="Heading4">
    <w:name w:val="heading 4"/>
    <w:basedOn w:val="Normal"/>
    <w:next w:val="Normal"/>
    <w:link w:val="Heading4Char"/>
    <w:uiPriority w:val="9"/>
    <w:semiHidden/>
    <w:unhideWhenUsed/>
    <w:qFormat/>
    <w:rsid w:val="004B5740"/>
    <w:pPr>
      <w:keepNext/>
      <w:keepLines/>
      <w:numPr>
        <w:ilvl w:val="3"/>
        <w:numId w:val="5"/>
      </w:numPr>
      <w:spacing w:before="200" w:after="0"/>
      <w:outlineLvl w:val="3"/>
    </w:pPr>
    <w:rPr>
      <w:rFonts w:asciiTheme="majorHAnsi" w:eastAsiaTheme="majorEastAsia" w:hAnsiTheme="majorHAnsi" w:cstheme="majorBidi"/>
      <w:b/>
      <w:bCs/>
      <w:i/>
      <w:iCs/>
      <w:color w:val="6EA0B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740"/>
    <w:rPr>
      <w:rFonts w:eastAsiaTheme="majorEastAsia" w:cstheme="majorBidi"/>
      <w:b/>
      <w:bCs/>
      <w:color w:val="4B7B8A" w:themeColor="accent1" w:themeShade="BF"/>
      <w:sz w:val="28"/>
      <w:szCs w:val="28"/>
    </w:rPr>
  </w:style>
  <w:style w:type="paragraph" w:styleId="Header">
    <w:name w:val="header"/>
    <w:basedOn w:val="Normal"/>
    <w:link w:val="HeaderChar"/>
    <w:uiPriority w:val="99"/>
    <w:unhideWhenUsed/>
    <w:rsid w:val="004C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FE"/>
  </w:style>
  <w:style w:type="paragraph" w:styleId="Footer">
    <w:name w:val="footer"/>
    <w:basedOn w:val="Normal"/>
    <w:link w:val="FooterChar"/>
    <w:uiPriority w:val="99"/>
    <w:unhideWhenUsed/>
    <w:rsid w:val="004C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FE"/>
  </w:style>
  <w:style w:type="table" w:styleId="TableGrid">
    <w:name w:val="Table Grid"/>
    <w:basedOn w:val="TableNormal"/>
    <w:uiPriority w:val="59"/>
    <w:rsid w:val="004C63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FE"/>
    <w:rPr>
      <w:rFonts w:ascii="Tahoma" w:hAnsi="Tahoma" w:cs="Tahoma"/>
      <w:sz w:val="16"/>
      <w:szCs w:val="16"/>
    </w:rPr>
  </w:style>
  <w:style w:type="character" w:styleId="Hyperlink">
    <w:name w:val="Hyperlink"/>
    <w:basedOn w:val="DefaultParagraphFont"/>
    <w:uiPriority w:val="99"/>
    <w:unhideWhenUsed/>
    <w:rsid w:val="004C63FE"/>
    <w:rPr>
      <w:color w:val="00C8C3" w:themeColor="hyperlink"/>
      <w:u w:val="single"/>
    </w:rPr>
  </w:style>
  <w:style w:type="paragraph" w:styleId="ListParagraph">
    <w:name w:val="List Paragraph"/>
    <w:basedOn w:val="Normal"/>
    <w:uiPriority w:val="34"/>
    <w:qFormat/>
    <w:rsid w:val="001F7BDF"/>
    <w:pPr>
      <w:ind w:left="720"/>
      <w:contextualSpacing/>
    </w:pPr>
  </w:style>
  <w:style w:type="character" w:customStyle="1" w:styleId="Heading2Char">
    <w:name w:val="Heading 2 Char"/>
    <w:basedOn w:val="DefaultParagraphFont"/>
    <w:link w:val="Heading2"/>
    <w:uiPriority w:val="9"/>
    <w:rsid w:val="00C1276E"/>
    <w:rPr>
      <w:rFonts w:eastAsiaTheme="majorEastAsia" w:cstheme="majorBidi"/>
      <w:color w:val="6EA0B0" w:themeColor="accent1"/>
      <w:sz w:val="26"/>
      <w:szCs w:val="26"/>
    </w:rPr>
  </w:style>
  <w:style w:type="numbering" w:customStyle="1" w:styleId="Headings">
    <w:name w:val="Headings"/>
    <w:uiPriority w:val="99"/>
    <w:rsid w:val="004B5740"/>
    <w:pPr>
      <w:numPr>
        <w:numId w:val="4"/>
      </w:numPr>
    </w:pPr>
  </w:style>
  <w:style w:type="character" w:customStyle="1" w:styleId="Heading3Char">
    <w:name w:val="Heading 3 Char"/>
    <w:basedOn w:val="DefaultParagraphFont"/>
    <w:link w:val="Heading3"/>
    <w:uiPriority w:val="9"/>
    <w:rsid w:val="00DC07A6"/>
    <w:rPr>
      <w:rFonts w:asciiTheme="majorHAnsi" w:eastAsiaTheme="majorEastAsia" w:hAnsiTheme="majorHAnsi" w:cstheme="majorBidi"/>
      <w:bCs/>
      <w:color w:val="6EA0B0" w:themeColor="accent1"/>
    </w:rPr>
  </w:style>
  <w:style w:type="character" w:customStyle="1" w:styleId="Heading4Char">
    <w:name w:val="Heading 4 Char"/>
    <w:basedOn w:val="DefaultParagraphFont"/>
    <w:link w:val="Heading4"/>
    <w:uiPriority w:val="9"/>
    <w:semiHidden/>
    <w:rsid w:val="004B5740"/>
    <w:rPr>
      <w:rFonts w:asciiTheme="majorHAnsi" w:eastAsiaTheme="majorEastAsia" w:hAnsiTheme="majorHAnsi" w:cstheme="majorBidi"/>
      <w:b/>
      <w:bCs/>
      <w:i/>
      <w:iCs/>
      <w:color w:val="6EA0B0" w:themeColor="accent1"/>
    </w:rPr>
  </w:style>
  <w:style w:type="character" w:styleId="PlaceholderText">
    <w:name w:val="Placeholder Text"/>
    <w:basedOn w:val="DefaultParagraphFont"/>
    <w:uiPriority w:val="99"/>
    <w:semiHidden/>
    <w:rsid w:val="008C2436"/>
    <w:rPr>
      <w:color w:val="808080"/>
    </w:rPr>
  </w:style>
  <w:style w:type="paragraph" w:styleId="Caption">
    <w:name w:val="caption"/>
    <w:basedOn w:val="Normal"/>
    <w:next w:val="Normal"/>
    <w:uiPriority w:val="35"/>
    <w:unhideWhenUsed/>
    <w:qFormat/>
    <w:rsid w:val="00972ED5"/>
    <w:pPr>
      <w:spacing w:line="240" w:lineRule="auto"/>
    </w:pPr>
    <w:rPr>
      <w:b/>
      <w:bCs/>
      <w:color w:val="6EA0B0" w:themeColor="accent1"/>
      <w:sz w:val="18"/>
      <w:szCs w:val="18"/>
    </w:rPr>
  </w:style>
  <w:style w:type="paragraph" w:styleId="FootnoteText">
    <w:name w:val="footnote text"/>
    <w:basedOn w:val="Normal"/>
    <w:link w:val="FootnoteTextChar"/>
    <w:uiPriority w:val="99"/>
    <w:semiHidden/>
    <w:unhideWhenUsed/>
    <w:rsid w:val="00403A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89"/>
    <w:rPr>
      <w:sz w:val="20"/>
      <w:szCs w:val="20"/>
    </w:rPr>
  </w:style>
  <w:style w:type="character" w:styleId="FootnoteReference">
    <w:name w:val="footnote reference"/>
    <w:basedOn w:val="DefaultParagraphFont"/>
    <w:uiPriority w:val="99"/>
    <w:semiHidden/>
    <w:unhideWhenUsed/>
    <w:rsid w:val="00403A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FE"/>
  </w:style>
  <w:style w:type="paragraph" w:styleId="Heading1">
    <w:name w:val="heading 1"/>
    <w:next w:val="Normal"/>
    <w:link w:val="Heading1Char"/>
    <w:uiPriority w:val="9"/>
    <w:qFormat/>
    <w:rsid w:val="004B5740"/>
    <w:pPr>
      <w:keepNext/>
      <w:keepLines/>
      <w:numPr>
        <w:numId w:val="5"/>
      </w:numPr>
      <w:spacing w:before="240" w:after="240" w:line="240" w:lineRule="auto"/>
      <w:outlineLvl w:val="0"/>
    </w:pPr>
    <w:rPr>
      <w:rFonts w:eastAsiaTheme="majorEastAsia" w:cstheme="majorBidi"/>
      <w:b/>
      <w:bCs/>
      <w:color w:val="4B7B8A" w:themeColor="accent1" w:themeShade="BF"/>
      <w:sz w:val="28"/>
      <w:szCs w:val="28"/>
    </w:rPr>
  </w:style>
  <w:style w:type="paragraph" w:styleId="Heading2">
    <w:name w:val="heading 2"/>
    <w:basedOn w:val="Heading1"/>
    <w:next w:val="Normal"/>
    <w:link w:val="Heading2Char"/>
    <w:uiPriority w:val="9"/>
    <w:unhideWhenUsed/>
    <w:qFormat/>
    <w:rsid w:val="00C1276E"/>
    <w:pPr>
      <w:numPr>
        <w:ilvl w:val="1"/>
      </w:numPr>
      <w:spacing w:before="200" w:after="200"/>
      <w:outlineLvl w:val="1"/>
    </w:pPr>
    <w:rPr>
      <w:b w:val="0"/>
      <w:bCs w:val="0"/>
      <w:color w:val="6EA0B0" w:themeColor="accent1"/>
      <w:sz w:val="26"/>
      <w:szCs w:val="26"/>
    </w:rPr>
  </w:style>
  <w:style w:type="paragraph" w:styleId="Heading3">
    <w:name w:val="heading 3"/>
    <w:basedOn w:val="Normal"/>
    <w:next w:val="Normal"/>
    <w:link w:val="Heading3Char"/>
    <w:uiPriority w:val="9"/>
    <w:unhideWhenUsed/>
    <w:qFormat/>
    <w:rsid w:val="00DC07A6"/>
    <w:pPr>
      <w:keepNext/>
      <w:keepLines/>
      <w:numPr>
        <w:ilvl w:val="2"/>
        <w:numId w:val="5"/>
      </w:numPr>
      <w:spacing w:before="200"/>
      <w:outlineLvl w:val="2"/>
    </w:pPr>
    <w:rPr>
      <w:rFonts w:asciiTheme="majorHAnsi" w:eastAsiaTheme="majorEastAsia" w:hAnsiTheme="majorHAnsi" w:cstheme="majorBidi"/>
      <w:bCs/>
      <w:color w:val="6EA0B0" w:themeColor="accent1"/>
    </w:rPr>
  </w:style>
  <w:style w:type="paragraph" w:styleId="Heading4">
    <w:name w:val="heading 4"/>
    <w:basedOn w:val="Normal"/>
    <w:next w:val="Normal"/>
    <w:link w:val="Heading4Char"/>
    <w:uiPriority w:val="9"/>
    <w:semiHidden/>
    <w:unhideWhenUsed/>
    <w:qFormat/>
    <w:rsid w:val="004B5740"/>
    <w:pPr>
      <w:keepNext/>
      <w:keepLines/>
      <w:numPr>
        <w:ilvl w:val="3"/>
        <w:numId w:val="5"/>
      </w:numPr>
      <w:spacing w:before="200" w:after="0"/>
      <w:outlineLvl w:val="3"/>
    </w:pPr>
    <w:rPr>
      <w:rFonts w:asciiTheme="majorHAnsi" w:eastAsiaTheme="majorEastAsia" w:hAnsiTheme="majorHAnsi" w:cstheme="majorBidi"/>
      <w:b/>
      <w:bCs/>
      <w:i/>
      <w:iCs/>
      <w:color w:val="6EA0B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740"/>
    <w:rPr>
      <w:rFonts w:eastAsiaTheme="majorEastAsia" w:cstheme="majorBidi"/>
      <w:b/>
      <w:bCs/>
      <w:color w:val="4B7B8A" w:themeColor="accent1" w:themeShade="BF"/>
      <w:sz w:val="28"/>
      <w:szCs w:val="28"/>
    </w:rPr>
  </w:style>
  <w:style w:type="paragraph" w:styleId="Header">
    <w:name w:val="header"/>
    <w:basedOn w:val="Normal"/>
    <w:link w:val="HeaderChar"/>
    <w:uiPriority w:val="99"/>
    <w:unhideWhenUsed/>
    <w:rsid w:val="004C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FE"/>
  </w:style>
  <w:style w:type="paragraph" w:styleId="Footer">
    <w:name w:val="footer"/>
    <w:basedOn w:val="Normal"/>
    <w:link w:val="FooterChar"/>
    <w:uiPriority w:val="99"/>
    <w:unhideWhenUsed/>
    <w:rsid w:val="004C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FE"/>
  </w:style>
  <w:style w:type="table" w:styleId="TableGrid">
    <w:name w:val="Table Grid"/>
    <w:basedOn w:val="TableNormal"/>
    <w:uiPriority w:val="59"/>
    <w:rsid w:val="004C63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FE"/>
    <w:rPr>
      <w:rFonts w:ascii="Tahoma" w:hAnsi="Tahoma" w:cs="Tahoma"/>
      <w:sz w:val="16"/>
      <w:szCs w:val="16"/>
    </w:rPr>
  </w:style>
  <w:style w:type="character" w:styleId="Hyperlink">
    <w:name w:val="Hyperlink"/>
    <w:basedOn w:val="DefaultParagraphFont"/>
    <w:uiPriority w:val="99"/>
    <w:unhideWhenUsed/>
    <w:rsid w:val="004C63FE"/>
    <w:rPr>
      <w:color w:val="00C8C3" w:themeColor="hyperlink"/>
      <w:u w:val="single"/>
    </w:rPr>
  </w:style>
  <w:style w:type="paragraph" w:styleId="ListParagraph">
    <w:name w:val="List Paragraph"/>
    <w:basedOn w:val="Normal"/>
    <w:uiPriority w:val="34"/>
    <w:qFormat/>
    <w:rsid w:val="001F7BDF"/>
    <w:pPr>
      <w:ind w:left="720"/>
      <w:contextualSpacing/>
    </w:pPr>
  </w:style>
  <w:style w:type="character" w:customStyle="1" w:styleId="Heading2Char">
    <w:name w:val="Heading 2 Char"/>
    <w:basedOn w:val="DefaultParagraphFont"/>
    <w:link w:val="Heading2"/>
    <w:uiPriority w:val="9"/>
    <w:rsid w:val="00C1276E"/>
    <w:rPr>
      <w:rFonts w:eastAsiaTheme="majorEastAsia" w:cstheme="majorBidi"/>
      <w:color w:val="6EA0B0" w:themeColor="accent1"/>
      <w:sz w:val="26"/>
      <w:szCs w:val="26"/>
    </w:rPr>
  </w:style>
  <w:style w:type="numbering" w:customStyle="1" w:styleId="Headings">
    <w:name w:val="Headings"/>
    <w:uiPriority w:val="99"/>
    <w:rsid w:val="004B5740"/>
    <w:pPr>
      <w:numPr>
        <w:numId w:val="4"/>
      </w:numPr>
    </w:pPr>
  </w:style>
  <w:style w:type="character" w:customStyle="1" w:styleId="Heading3Char">
    <w:name w:val="Heading 3 Char"/>
    <w:basedOn w:val="DefaultParagraphFont"/>
    <w:link w:val="Heading3"/>
    <w:uiPriority w:val="9"/>
    <w:rsid w:val="00DC07A6"/>
    <w:rPr>
      <w:rFonts w:asciiTheme="majorHAnsi" w:eastAsiaTheme="majorEastAsia" w:hAnsiTheme="majorHAnsi" w:cstheme="majorBidi"/>
      <w:bCs/>
      <w:color w:val="6EA0B0" w:themeColor="accent1"/>
    </w:rPr>
  </w:style>
  <w:style w:type="character" w:customStyle="1" w:styleId="Heading4Char">
    <w:name w:val="Heading 4 Char"/>
    <w:basedOn w:val="DefaultParagraphFont"/>
    <w:link w:val="Heading4"/>
    <w:uiPriority w:val="9"/>
    <w:semiHidden/>
    <w:rsid w:val="004B5740"/>
    <w:rPr>
      <w:rFonts w:asciiTheme="majorHAnsi" w:eastAsiaTheme="majorEastAsia" w:hAnsiTheme="majorHAnsi" w:cstheme="majorBidi"/>
      <w:b/>
      <w:bCs/>
      <w:i/>
      <w:iCs/>
      <w:color w:val="6EA0B0" w:themeColor="accent1"/>
    </w:rPr>
  </w:style>
  <w:style w:type="character" w:styleId="PlaceholderText">
    <w:name w:val="Placeholder Text"/>
    <w:basedOn w:val="DefaultParagraphFont"/>
    <w:uiPriority w:val="99"/>
    <w:semiHidden/>
    <w:rsid w:val="008C2436"/>
    <w:rPr>
      <w:color w:val="808080"/>
    </w:rPr>
  </w:style>
  <w:style w:type="paragraph" w:styleId="Caption">
    <w:name w:val="caption"/>
    <w:basedOn w:val="Normal"/>
    <w:next w:val="Normal"/>
    <w:uiPriority w:val="35"/>
    <w:unhideWhenUsed/>
    <w:qFormat/>
    <w:rsid w:val="00972ED5"/>
    <w:pPr>
      <w:spacing w:line="240" w:lineRule="auto"/>
    </w:pPr>
    <w:rPr>
      <w:b/>
      <w:bCs/>
      <w:color w:val="6EA0B0" w:themeColor="accent1"/>
      <w:sz w:val="18"/>
      <w:szCs w:val="18"/>
    </w:rPr>
  </w:style>
  <w:style w:type="paragraph" w:styleId="FootnoteText">
    <w:name w:val="footnote text"/>
    <w:basedOn w:val="Normal"/>
    <w:link w:val="FootnoteTextChar"/>
    <w:uiPriority w:val="99"/>
    <w:semiHidden/>
    <w:unhideWhenUsed/>
    <w:rsid w:val="00403A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89"/>
    <w:rPr>
      <w:sz w:val="20"/>
      <w:szCs w:val="20"/>
    </w:rPr>
  </w:style>
  <w:style w:type="character" w:styleId="FootnoteReference">
    <w:name w:val="footnote reference"/>
    <w:basedOn w:val="DefaultParagraphFont"/>
    <w:uiPriority w:val="99"/>
    <w:semiHidden/>
    <w:unhideWhenUsed/>
    <w:rsid w:val="00403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go.caltech.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ligo.mit.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ligo.caltech.edu" TargetMode="Externa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72B2-DDED-4534-BCF1-1A00A957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aLIGO PSL VCO Amplifier Assembly Instructions</vt:lpstr>
    </vt:vector>
  </TitlesOfParts>
  <Company>LIGO</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aLIGO PSL VCO Amplifier Assembly Instructions</dc:title>
  <dc:creator>Peter King</dc:creator>
  <cp:lastModifiedBy>pking</cp:lastModifiedBy>
  <cp:revision>10</cp:revision>
  <cp:lastPrinted>2011-07-07T13:14:00Z</cp:lastPrinted>
  <dcterms:created xsi:type="dcterms:W3CDTF">2013-11-21T18:46:00Z</dcterms:created>
  <dcterms:modified xsi:type="dcterms:W3CDTF">2013-11-21T22:40:00Z</dcterms:modified>
</cp:coreProperties>
</file>