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B6" w:rsidRPr="00570CC2" w:rsidRDefault="00C15BB6" w:rsidP="0000760A">
      <w:pPr>
        <w:jc w:val="center"/>
        <w:rPr>
          <w:sz w:val="22"/>
          <w:szCs w:val="22"/>
        </w:rPr>
      </w:pPr>
      <w:r w:rsidRPr="00570CC2">
        <w:rPr>
          <w:sz w:val="22"/>
          <w:szCs w:val="22"/>
        </w:rPr>
        <w:t>A</w:t>
      </w:r>
      <w:r w:rsidR="007E35BB" w:rsidRPr="00570CC2">
        <w:rPr>
          <w:sz w:val="22"/>
          <w:szCs w:val="22"/>
        </w:rPr>
        <w:t xml:space="preserve">ddendum No. </w:t>
      </w:r>
      <w:r w:rsidR="000A7C86" w:rsidRPr="00570CC2">
        <w:rPr>
          <w:sz w:val="22"/>
          <w:szCs w:val="22"/>
        </w:rPr>
        <w:t>2</w:t>
      </w:r>
      <w:r w:rsidRPr="00570CC2">
        <w:rPr>
          <w:sz w:val="22"/>
          <w:szCs w:val="22"/>
        </w:rPr>
        <w:t xml:space="preserve"> D</w:t>
      </w:r>
      <w:r w:rsidR="007E35BB" w:rsidRPr="00570CC2">
        <w:rPr>
          <w:sz w:val="22"/>
          <w:szCs w:val="22"/>
        </w:rPr>
        <w:t xml:space="preserve">ated </w:t>
      </w:r>
      <w:r w:rsidRPr="00570CC2">
        <w:rPr>
          <w:sz w:val="22"/>
          <w:szCs w:val="22"/>
        </w:rPr>
        <w:t>5/</w:t>
      </w:r>
      <w:r w:rsidR="000A7C86" w:rsidRPr="00570CC2">
        <w:rPr>
          <w:sz w:val="22"/>
          <w:szCs w:val="22"/>
        </w:rPr>
        <w:t>31</w:t>
      </w:r>
      <w:r w:rsidRPr="00570CC2">
        <w:rPr>
          <w:sz w:val="22"/>
          <w:szCs w:val="22"/>
        </w:rPr>
        <w:t xml:space="preserve">/13 </w:t>
      </w:r>
      <w:r w:rsidR="007E35BB" w:rsidRPr="00570CC2">
        <w:rPr>
          <w:sz w:val="22"/>
          <w:szCs w:val="22"/>
        </w:rPr>
        <w:t>to</w:t>
      </w:r>
    </w:p>
    <w:p w:rsidR="0000760A" w:rsidRPr="00570CC2" w:rsidRDefault="001039DF" w:rsidP="0000760A">
      <w:pPr>
        <w:jc w:val="center"/>
        <w:rPr>
          <w:sz w:val="22"/>
          <w:szCs w:val="22"/>
        </w:rPr>
      </w:pPr>
      <w:r w:rsidRPr="00570CC2">
        <w:rPr>
          <w:sz w:val="22"/>
          <w:szCs w:val="22"/>
        </w:rPr>
        <w:t>L</w:t>
      </w:r>
      <w:r w:rsidR="007E35BB" w:rsidRPr="00570CC2">
        <w:rPr>
          <w:sz w:val="22"/>
          <w:szCs w:val="22"/>
        </w:rPr>
        <w:t>aser</w:t>
      </w:r>
      <w:r w:rsidRPr="00570CC2">
        <w:rPr>
          <w:sz w:val="22"/>
          <w:szCs w:val="22"/>
        </w:rPr>
        <w:t xml:space="preserve"> I</w:t>
      </w:r>
      <w:r w:rsidR="007E35BB" w:rsidRPr="00570CC2">
        <w:rPr>
          <w:sz w:val="22"/>
          <w:szCs w:val="22"/>
        </w:rPr>
        <w:t>nterferometer</w:t>
      </w:r>
      <w:r w:rsidRPr="00570CC2">
        <w:rPr>
          <w:sz w:val="22"/>
          <w:szCs w:val="22"/>
        </w:rPr>
        <w:t xml:space="preserve"> G</w:t>
      </w:r>
      <w:r w:rsidR="007E35BB" w:rsidRPr="00570CC2">
        <w:rPr>
          <w:sz w:val="22"/>
          <w:szCs w:val="22"/>
        </w:rPr>
        <w:t xml:space="preserve">ravitational </w:t>
      </w:r>
      <w:r w:rsidRPr="00570CC2">
        <w:rPr>
          <w:sz w:val="22"/>
          <w:szCs w:val="22"/>
        </w:rPr>
        <w:t>W</w:t>
      </w:r>
      <w:r w:rsidR="007E35BB" w:rsidRPr="00570CC2">
        <w:rPr>
          <w:sz w:val="22"/>
          <w:szCs w:val="22"/>
        </w:rPr>
        <w:t>ave</w:t>
      </w:r>
      <w:r w:rsidR="0000760A" w:rsidRPr="00570CC2">
        <w:rPr>
          <w:sz w:val="22"/>
          <w:szCs w:val="22"/>
        </w:rPr>
        <w:t xml:space="preserve"> O</w:t>
      </w:r>
      <w:r w:rsidR="007E35BB" w:rsidRPr="00570CC2">
        <w:rPr>
          <w:sz w:val="22"/>
          <w:szCs w:val="22"/>
        </w:rPr>
        <w:t>bservatory</w:t>
      </w:r>
      <w:r w:rsidR="0000760A" w:rsidRPr="00570CC2">
        <w:rPr>
          <w:sz w:val="22"/>
          <w:szCs w:val="22"/>
        </w:rPr>
        <w:t xml:space="preserve"> (LIGO)</w:t>
      </w:r>
    </w:p>
    <w:p w:rsidR="001039DF" w:rsidRPr="00570CC2" w:rsidRDefault="001039DF" w:rsidP="0000760A">
      <w:pPr>
        <w:jc w:val="center"/>
        <w:rPr>
          <w:sz w:val="22"/>
          <w:szCs w:val="22"/>
        </w:rPr>
      </w:pPr>
      <w:r w:rsidRPr="00570CC2">
        <w:rPr>
          <w:sz w:val="22"/>
          <w:szCs w:val="22"/>
        </w:rPr>
        <w:t>F</w:t>
      </w:r>
      <w:r w:rsidR="007E35BB" w:rsidRPr="00570CC2">
        <w:rPr>
          <w:sz w:val="22"/>
          <w:szCs w:val="22"/>
        </w:rPr>
        <w:t xml:space="preserve">acility </w:t>
      </w:r>
      <w:r w:rsidRPr="00570CC2">
        <w:rPr>
          <w:sz w:val="22"/>
          <w:szCs w:val="22"/>
        </w:rPr>
        <w:t>R</w:t>
      </w:r>
      <w:r w:rsidR="007E35BB" w:rsidRPr="00570CC2">
        <w:rPr>
          <w:sz w:val="22"/>
          <w:szCs w:val="22"/>
        </w:rPr>
        <w:t>e</w:t>
      </w:r>
      <w:r w:rsidRPr="00570CC2">
        <w:rPr>
          <w:sz w:val="22"/>
          <w:szCs w:val="22"/>
        </w:rPr>
        <w:t>-</w:t>
      </w:r>
      <w:r w:rsidR="007E35BB" w:rsidRPr="00570CC2">
        <w:rPr>
          <w:sz w:val="22"/>
          <w:szCs w:val="22"/>
        </w:rPr>
        <w:t>roofing Project</w:t>
      </w:r>
      <w:r w:rsidRPr="00570CC2">
        <w:rPr>
          <w:sz w:val="22"/>
          <w:szCs w:val="22"/>
        </w:rPr>
        <w:t xml:space="preserve"> FY 2013</w:t>
      </w:r>
    </w:p>
    <w:p w:rsidR="0000760A" w:rsidRPr="00B54FEC" w:rsidRDefault="0000760A" w:rsidP="001039DF">
      <w:pPr>
        <w:rPr>
          <w:sz w:val="22"/>
          <w:szCs w:val="22"/>
        </w:rPr>
      </w:pPr>
    </w:p>
    <w:p w:rsidR="0000760A" w:rsidRPr="00570CC2" w:rsidRDefault="0000760A" w:rsidP="001039DF">
      <w:pPr>
        <w:rPr>
          <w:sz w:val="22"/>
          <w:szCs w:val="22"/>
        </w:rPr>
      </w:pPr>
      <w:r w:rsidRPr="00570CC2">
        <w:rPr>
          <w:sz w:val="22"/>
          <w:szCs w:val="22"/>
        </w:rPr>
        <w:t>The California Institute of Technology solicits bids</w:t>
      </w:r>
      <w:r w:rsidR="00997D6E" w:rsidRPr="00570CC2">
        <w:rPr>
          <w:sz w:val="22"/>
          <w:szCs w:val="22"/>
        </w:rPr>
        <w:t xml:space="preserve"> in conformance with the instructions contained in Invitation to Bid No. LP-12b for the Reroofing Project at the LIGO Hanford Observatory located on Horn Road, Richland, Washington.  The link is </w:t>
      </w:r>
      <w:hyperlink r:id="rId9" w:history="1">
        <w:r w:rsidR="00997D6E" w:rsidRPr="00570CC2">
          <w:rPr>
            <w:rStyle w:val="Hyperlink"/>
            <w:sz w:val="22"/>
            <w:szCs w:val="22"/>
          </w:rPr>
          <w:t>C1301598-v2</w:t>
        </w:r>
      </w:hyperlink>
      <w:r w:rsidR="00C15BB6" w:rsidRPr="00570CC2">
        <w:rPr>
          <w:sz w:val="22"/>
          <w:szCs w:val="22"/>
        </w:rPr>
        <w:t xml:space="preserve"> or Contact Rudy Arvizu, Senior Contracting Officer, at </w:t>
      </w:r>
      <w:hyperlink r:id="rId10" w:history="1">
        <w:r w:rsidR="00C15BB6" w:rsidRPr="00570CC2">
          <w:rPr>
            <w:rStyle w:val="Hyperlink"/>
            <w:sz w:val="22"/>
            <w:szCs w:val="22"/>
          </w:rPr>
          <w:t>rarvizu@ligo.caltech.edu</w:t>
        </w:r>
      </w:hyperlink>
    </w:p>
    <w:p w:rsidR="0000760A" w:rsidRDefault="0000760A" w:rsidP="001039DF">
      <w:pPr>
        <w:rPr>
          <w:sz w:val="22"/>
          <w:szCs w:val="22"/>
        </w:rPr>
      </w:pPr>
    </w:p>
    <w:p w:rsidR="00390784" w:rsidRDefault="00390784" w:rsidP="001039DF">
      <w:pPr>
        <w:rPr>
          <w:sz w:val="22"/>
          <w:szCs w:val="22"/>
        </w:rPr>
      </w:pPr>
      <w:r>
        <w:rPr>
          <w:sz w:val="22"/>
          <w:szCs w:val="22"/>
        </w:rPr>
        <w:t xml:space="preserve">Bids are to </w:t>
      </w:r>
      <w:r w:rsidR="0091213D">
        <w:rPr>
          <w:sz w:val="22"/>
          <w:szCs w:val="22"/>
        </w:rPr>
        <w:t xml:space="preserve">be </w:t>
      </w:r>
      <w:r>
        <w:rPr>
          <w:sz w:val="22"/>
          <w:szCs w:val="22"/>
        </w:rPr>
        <w:t>received</w:t>
      </w:r>
      <w:r w:rsidR="0091213D">
        <w:rPr>
          <w:sz w:val="22"/>
          <w:szCs w:val="22"/>
        </w:rPr>
        <w:t xml:space="preserve"> </w:t>
      </w:r>
      <w:r>
        <w:rPr>
          <w:sz w:val="22"/>
          <w:szCs w:val="22"/>
        </w:rPr>
        <w:t>no later than 6/4/13, 2:00 pm local time.</w:t>
      </w:r>
    </w:p>
    <w:p w:rsidR="00390784" w:rsidRDefault="00390784" w:rsidP="00390784">
      <w:pPr>
        <w:pStyle w:val="ListParagraph"/>
        <w:numPr>
          <w:ilvl w:val="0"/>
          <w:numId w:val="1"/>
        </w:numPr>
        <w:ind w:left="180" w:hanging="180"/>
        <w:rPr>
          <w:sz w:val="22"/>
          <w:szCs w:val="22"/>
        </w:rPr>
      </w:pPr>
      <w:r>
        <w:rPr>
          <w:sz w:val="22"/>
          <w:szCs w:val="22"/>
        </w:rPr>
        <w:t xml:space="preserve">The email option is to </w:t>
      </w:r>
      <w:r w:rsidR="0091213D" w:rsidRPr="00390784">
        <w:rPr>
          <w:sz w:val="22"/>
          <w:szCs w:val="22"/>
        </w:rPr>
        <w:t xml:space="preserve">Rudy Arvizu, Senior Contracting Officer, at </w:t>
      </w:r>
      <w:hyperlink r:id="rId11" w:history="1">
        <w:r w:rsidR="0091213D" w:rsidRPr="00390784">
          <w:rPr>
            <w:rStyle w:val="Hyperlink"/>
            <w:sz w:val="22"/>
            <w:szCs w:val="22"/>
          </w:rPr>
          <w:t>rarvizu@ligo.caltech.edu</w:t>
        </w:r>
      </w:hyperlink>
      <w:r w:rsidR="0091213D" w:rsidRPr="00390784">
        <w:rPr>
          <w:rStyle w:val="Hyperlink"/>
          <w:color w:val="auto"/>
          <w:sz w:val="22"/>
          <w:szCs w:val="22"/>
          <w:u w:val="none"/>
        </w:rPr>
        <w:t xml:space="preserve"> with copies to Ed Jasnow, LIGO Operations Subcontract Manager, </w:t>
      </w:r>
      <w:hyperlink r:id="rId12" w:history="1">
        <w:r w:rsidR="0091213D" w:rsidRPr="00390784">
          <w:rPr>
            <w:rStyle w:val="Hyperlink"/>
            <w:sz w:val="22"/>
            <w:szCs w:val="22"/>
          </w:rPr>
          <w:t>jasnow@ligo.caltech.edu</w:t>
        </w:r>
      </w:hyperlink>
      <w:r w:rsidR="0091213D" w:rsidRPr="00390784">
        <w:rPr>
          <w:rStyle w:val="Hyperlink"/>
          <w:color w:val="auto"/>
          <w:sz w:val="22"/>
          <w:szCs w:val="22"/>
          <w:u w:val="none"/>
        </w:rPr>
        <w:t xml:space="preserve"> </w:t>
      </w:r>
      <w:r w:rsidR="0091213D" w:rsidRPr="00390784">
        <w:rPr>
          <w:sz w:val="22"/>
          <w:szCs w:val="22"/>
        </w:rPr>
        <w:t xml:space="preserve"> and John Worden, Technical Manager, </w:t>
      </w:r>
      <w:hyperlink r:id="rId13" w:history="1">
        <w:r w:rsidR="0091213D" w:rsidRPr="00390784">
          <w:rPr>
            <w:rStyle w:val="Hyperlink"/>
            <w:sz w:val="22"/>
            <w:szCs w:val="22"/>
          </w:rPr>
          <w:t>worden_j@ligo-wa.caltech.edu</w:t>
        </w:r>
      </w:hyperlink>
      <w:r w:rsidR="0091213D" w:rsidRPr="00390784">
        <w:rPr>
          <w:sz w:val="22"/>
          <w:szCs w:val="22"/>
        </w:rPr>
        <w:t xml:space="preserve"> </w:t>
      </w:r>
      <w:r>
        <w:rPr>
          <w:sz w:val="22"/>
          <w:szCs w:val="22"/>
        </w:rPr>
        <w:t>;</w:t>
      </w:r>
      <w:r w:rsidR="003D7124">
        <w:rPr>
          <w:sz w:val="22"/>
          <w:szCs w:val="22"/>
        </w:rPr>
        <w:t xml:space="preserve"> or</w:t>
      </w:r>
    </w:p>
    <w:p w:rsidR="0091213D" w:rsidRPr="00390784" w:rsidRDefault="003D7124" w:rsidP="00390784">
      <w:pPr>
        <w:pStyle w:val="ListParagraph"/>
        <w:numPr>
          <w:ilvl w:val="0"/>
          <w:numId w:val="1"/>
        </w:numPr>
        <w:ind w:left="180" w:hanging="180"/>
        <w:rPr>
          <w:sz w:val="22"/>
          <w:szCs w:val="22"/>
        </w:rPr>
      </w:pPr>
      <w:r>
        <w:rPr>
          <w:sz w:val="22"/>
          <w:szCs w:val="22"/>
        </w:rPr>
        <w:t xml:space="preserve">Hard copy to the </w:t>
      </w:r>
      <w:r w:rsidR="0091213D" w:rsidRPr="00390784">
        <w:rPr>
          <w:sz w:val="22"/>
          <w:szCs w:val="22"/>
        </w:rPr>
        <w:t>LIGO Hanford Observatory</w:t>
      </w:r>
      <w:r>
        <w:rPr>
          <w:sz w:val="22"/>
          <w:szCs w:val="22"/>
        </w:rPr>
        <w:t>.</w:t>
      </w:r>
    </w:p>
    <w:p w:rsidR="0091213D" w:rsidRDefault="0091213D" w:rsidP="009847DF">
      <w:pPr>
        <w:rPr>
          <w:sz w:val="22"/>
          <w:szCs w:val="22"/>
        </w:rPr>
      </w:pPr>
    </w:p>
    <w:p w:rsidR="009847DF" w:rsidRPr="00570CC2" w:rsidRDefault="009847DF" w:rsidP="009847DF">
      <w:pPr>
        <w:rPr>
          <w:rStyle w:val="Hyperlink"/>
          <w:sz w:val="22"/>
          <w:szCs w:val="22"/>
        </w:rPr>
      </w:pPr>
      <w:r w:rsidRPr="00570CC2">
        <w:rPr>
          <w:sz w:val="22"/>
          <w:szCs w:val="22"/>
        </w:rPr>
        <w:t>Interested parties are requested to contact</w:t>
      </w:r>
      <w:r w:rsidR="002629A6" w:rsidRPr="00570CC2">
        <w:rPr>
          <w:sz w:val="22"/>
          <w:szCs w:val="22"/>
        </w:rPr>
        <w:t xml:space="preserve"> (626) 395-4834 or</w:t>
      </w:r>
      <w:r w:rsidRPr="00570CC2">
        <w:rPr>
          <w:sz w:val="22"/>
          <w:szCs w:val="22"/>
        </w:rPr>
        <w:t xml:space="preserve"> </w:t>
      </w:r>
      <w:hyperlink r:id="rId14" w:history="1">
        <w:r w:rsidRPr="00570CC2">
          <w:rPr>
            <w:rStyle w:val="Hyperlink"/>
            <w:sz w:val="22"/>
            <w:szCs w:val="22"/>
          </w:rPr>
          <w:t>rarvizu@ligo.caltech.edu</w:t>
        </w:r>
      </w:hyperlink>
    </w:p>
    <w:p w:rsidR="009847DF" w:rsidRPr="00570CC2" w:rsidRDefault="002629A6" w:rsidP="001039DF">
      <w:pPr>
        <w:rPr>
          <w:sz w:val="22"/>
          <w:szCs w:val="22"/>
        </w:rPr>
      </w:pPr>
      <w:r w:rsidRPr="00570CC2">
        <w:rPr>
          <w:sz w:val="22"/>
          <w:szCs w:val="22"/>
        </w:rPr>
        <w:t>I</w:t>
      </w:r>
      <w:r w:rsidR="000A7C86" w:rsidRPr="00570CC2">
        <w:rPr>
          <w:sz w:val="22"/>
          <w:szCs w:val="22"/>
        </w:rPr>
        <w:t>nvitation to Bid summary of a</w:t>
      </w:r>
      <w:r w:rsidRPr="00570CC2">
        <w:rPr>
          <w:sz w:val="22"/>
          <w:szCs w:val="22"/>
        </w:rPr>
        <w:t>ddenda</w:t>
      </w:r>
      <w:r w:rsidR="003A074B" w:rsidRPr="00570CC2">
        <w:rPr>
          <w:sz w:val="22"/>
          <w:szCs w:val="22"/>
        </w:rPr>
        <w:t>:</w:t>
      </w:r>
    </w:p>
    <w:p w:rsidR="002629A6" w:rsidRPr="00570CC2" w:rsidRDefault="002629A6" w:rsidP="001039DF">
      <w:pPr>
        <w:rPr>
          <w:sz w:val="22"/>
          <w:szCs w:val="22"/>
        </w:rPr>
      </w:pPr>
    </w:p>
    <w:p w:rsidR="000A7C86" w:rsidRPr="00570CC2" w:rsidRDefault="000A7C86" w:rsidP="001039DF">
      <w:pPr>
        <w:rPr>
          <w:sz w:val="22"/>
          <w:szCs w:val="22"/>
        </w:rPr>
      </w:pPr>
      <w:r w:rsidRPr="00570CC2">
        <w:rPr>
          <w:sz w:val="22"/>
          <w:szCs w:val="22"/>
        </w:rPr>
        <w:t xml:space="preserve">Addendum No. </w:t>
      </w:r>
      <w:r w:rsidR="003A074B" w:rsidRPr="00570CC2">
        <w:rPr>
          <w:sz w:val="22"/>
          <w:szCs w:val="22"/>
        </w:rPr>
        <w:t>l, dated 5/23/13</w:t>
      </w:r>
    </w:p>
    <w:p w:rsidR="003A074B" w:rsidRPr="00570CC2" w:rsidRDefault="003A074B" w:rsidP="001039D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Question No. 1</w:t>
            </w:r>
          </w:p>
        </w:tc>
        <w:tc>
          <w:tcPr>
            <w:tcW w:w="7038" w:type="dxa"/>
          </w:tcPr>
          <w:p w:rsidR="009847DF" w:rsidRPr="00570CC2" w:rsidRDefault="009847DF" w:rsidP="00DA0FEA">
            <w:pPr>
              <w:tabs>
                <w:tab w:val="left" w:pos="1980"/>
              </w:tabs>
              <w:ind w:left="162"/>
              <w:rPr>
                <w:sz w:val="22"/>
                <w:szCs w:val="22"/>
              </w:rPr>
            </w:pPr>
            <w:r w:rsidRPr="00570CC2">
              <w:rPr>
                <w:sz w:val="22"/>
                <w:szCs w:val="22"/>
              </w:rPr>
              <w:t>What detailed requirements exist for the bond?</w:t>
            </w:r>
          </w:p>
        </w:tc>
      </w:tr>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Answer No. 1</w:t>
            </w:r>
          </w:p>
        </w:tc>
        <w:tc>
          <w:tcPr>
            <w:tcW w:w="7038" w:type="dxa"/>
          </w:tcPr>
          <w:p w:rsidR="009847DF" w:rsidRPr="00570CC2" w:rsidRDefault="009847DF" w:rsidP="00DA0FEA">
            <w:pPr>
              <w:tabs>
                <w:tab w:val="left" w:pos="1980"/>
              </w:tabs>
              <w:ind w:left="162"/>
              <w:rPr>
                <w:sz w:val="22"/>
                <w:szCs w:val="22"/>
              </w:rPr>
            </w:pPr>
            <w:r w:rsidRPr="00570CC2">
              <w:rPr>
                <w:sz w:val="22"/>
                <w:szCs w:val="22"/>
              </w:rPr>
              <w:t>5%</w:t>
            </w:r>
            <w:r w:rsidR="007422C9">
              <w:rPr>
                <w:sz w:val="22"/>
                <w:szCs w:val="22"/>
              </w:rPr>
              <w:t xml:space="preserve"> (see Question and Answer 15).</w:t>
            </w:r>
          </w:p>
        </w:tc>
      </w:tr>
      <w:tr w:rsidR="009847DF" w:rsidRPr="00570CC2" w:rsidTr="009847DF">
        <w:tc>
          <w:tcPr>
            <w:tcW w:w="1818" w:type="dxa"/>
          </w:tcPr>
          <w:p w:rsidR="009847DF" w:rsidRPr="00570CC2" w:rsidRDefault="009847DF" w:rsidP="00DA0FEA">
            <w:pPr>
              <w:tabs>
                <w:tab w:val="left" w:pos="1980"/>
              </w:tabs>
              <w:rPr>
                <w:sz w:val="22"/>
                <w:szCs w:val="22"/>
              </w:rPr>
            </w:pPr>
          </w:p>
        </w:tc>
        <w:tc>
          <w:tcPr>
            <w:tcW w:w="7038" w:type="dxa"/>
          </w:tcPr>
          <w:p w:rsidR="009847DF" w:rsidRPr="00570CC2" w:rsidRDefault="009847DF" w:rsidP="00DA0FEA">
            <w:pPr>
              <w:tabs>
                <w:tab w:val="left" w:pos="1980"/>
              </w:tabs>
              <w:ind w:left="162"/>
              <w:rPr>
                <w:sz w:val="22"/>
                <w:szCs w:val="22"/>
              </w:rPr>
            </w:pPr>
          </w:p>
        </w:tc>
      </w:tr>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Question No. 2</w:t>
            </w:r>
          </w:p>
        </w:tc>
        <w:tc>
          <w:tcPr>
            <w:tcW w:w="7038" w:type="dxa"/>
          </w:tcPr>
          <w:p w:rsidR="009847DF" w:rsidRPr="00570CC2" w:rsidRDefault="009847DF" w:rsidP="00DA0FEA">
            <w:pPr>
              <w:tabs>
                <w:tab w:val="left" w:pos="1980"/>
              </w:tabs>
              <w:ind w:left="162"/>
              <w:rPr>
                <w:sz w:val="22"/>
                <w:szCs w:val="22"/>
              </w:rPr>
            </w:pPr>
            <w:r w:rsidRPr="00570CC2">
              <w:rPr>
                <w:sz w:val="22"/>
                <w:szCs w:val="22"/>
              </w:rPr>
              <w:t>What details are there for the bid submittal?  Do we require electronic submission of all documents AND paper copies at the bid opening? Who do they send documents to?</w:t>
            </w:r>
          </w:p>
        </w:tc>
      </w:tr>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Answer No. 2</w:t>
            </w:r>
          </w:p>
          <w:p w:rsidR="009847DF" w:rsidRPr="00570CC2" w:rsidRDefault="009847DF" w:rsidP="00DA0FEA">
            <w:pPr>
              <w:tabs>
                <w:tab w:val="left" w:pos="1980"/>
              </w:tabs>
              <w:rPr>
                <w:sz w:val="22"/>
                <w:szCs w:val="22"/>
              </w:rPr>
            </w:pPr>
          </w:p>
        </w:tc>
        <w:tc>
          <w:tcPr>
            <w:tcW w:w="7038" w:type="dxa"/>
          </w:tcPr>
          <w:p w:rsidR="009847DF" w:rsidRPr="00570CC2" w:rsidRDefault="009847DF" w:rsidP="00DA0FEA">
            <w:pPr>
              <w:tabs>
                <w:tab w:val="left" w:pos="1980"/>
              </w:tabs>
              <w:ind w:left="162"/>
              <w:rPr>
                <w:sz w:val="22"/>
                <w:szCs w:val="22"/>
              </w:rPr>
            </w:pPr>
            <w:r w:rsidRPr="00570CC2">
              <w:rPr>
                <w:sz w:val="22"/>
                <w:szCs w:val="22"/>
              </w:rPr>
              <w:t xml:space="preserve">Electronic submission to Rudy Arvizu </w:t>
            </w:r>
            <w:hyperlink r:id="rId15" w:history="1">
              <w:r w:rsidRPr="00570CC2">
                <w:rPr>
                  <w:rStyle w:val="Hyperlink"/>
                  <w:sz w:val="22"/>
                  <w:szCs w:val="22"/>
                </w:rPr>
                <w:t>rarvizu@ligo.caltech.edu</w:t>
              </w:r>
            </w:hyperlink>
            <w:r w:rsidRPr="00570CC2">
              <w:rPr>
                <w:sz w:val="22"/>
                <w:szCs w:val="22"/>
              </w:rPr>
              <w:t xml:space="preserve"> and copy John Worden </w:t>
            </w:r>
            <w:hyperlink r:id="rId16" w:history="1">
              <w:r w:rsidRPr="00570CC2">
                <w:rPr>
                  <w:rStyle w:val="Hyperlink"/>
                  <w:sz w:val="22"/>
                  <w:szCs w:val="22"/>
                </w:rPr>
                <w:t>worden_j@ligo-wa.caltech.edu</w:t>
              </w:r>
            </w:hyperlink>
          </w:p>
        </w:tc>
      </w:tr>
      <w:tr w:rsidR="009847DF" w:rsidRPr="00570CC2" w:rsidTr="009847DF">
        <w:tc>
          <w:tcPr>
            <w:tcW w:w="1818" w:type="dxa"/>
          </w:tcPr>
          <w:p w:rsidR="009847DF" w:rsidRPr="00570CC2" w:rsidRDefault="009847DF" w:rsidP="00DA0FEA">
            <w:pPr>
              <w:tabs>
                <w:tab w:val="left" w:pos="1980"/>
              </w:tabs>
              <w:rPr>
                <w:sz w:val="22"/>
                <w:szCs w:val="22"/>
              </w:rPr>
            </w:pPr>
          </w:p>
        </w:tc>
        <w:tc>
          <w:tcPr>
            <w:tcW w:w="7038" w:type="dxa"/>
          </w:tcPr>
          <w:p w:rsidR="009847DF" w:rsidRPr="00570CC2" w:rsidRDefault="009847DF" w:rsidP="00DA0FEA">
            <w:pPr>
              <w:tabs>
                <w:tab w:val="left" w:pos="1980"/>
              </w:tabs>
              <w:ind w:left="162"/>
              <w:rPr>
                <w:sz w:val="22"/>
                <w:szCs w:val="22"/>
              </w:rPr>
            </w:pPr>
          </w:p>
        </w:tc>
      </w:tr>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Question No. 3</w:t>
            </w:r>
          </w:p>
        </w:tc>
        <w:tc>
          <w:tcPr>
            <w:tcW w:w="7038" w:type="dxa"/>
          </w:tcPr>
          <w:p w:rsidR="009847DF" w:rsidRPr="00570CC2" w:rsidRDefault="009847DF" w:rsidP="00DA0FEA">
            <w:pPr>
              <w:tabs>
                <w:tab w:val="left" w:pos="1980"/>
              </w:tabs>
              <w:ind w:left="162"/>
              <w:rPr>
                <w:sz w:val="22"/>
                <w:szCs w:val="22"/>
              </w:rPr>
            </w:pPr>
            <w:r w:rsidRPr="00570CC2">
              <w:rPr>
                <w:sz w:val="22"/>
                <w:szCs w:val="22"/>
              </w:rPr>
              <w:t>A question was raised about rub strips under lightning rod wiring?</w:t>
            </w:r>
          </w:p>
        </w:tc>
      </w:tr>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Answer No. 3</w:t>
            </w:r>
          </w:p>
        </w:tc>
        <w:tc>
          <w:tcPr>
            <w:tcW w:w="7038" w:type="dxa"/>
          </w:tcPr>
          <w:p w:rsidR="009847DF" w:rsidRPr="00570CC2" w:rsidRDefault="009847DF" w:rsidP="00DA0FEA">
            <w:pPr>
              <w:tabs>
                <w:tab w:val="left" w:pos="1980"/>
              </w:tabs>
              <w:ind w:left="162"/>
              <w:rPr>
                <w:sz w:val="22"/>
                <w:szCs w:val="22"/>
              </w:rPr>
            </w:pPr>
            <w:r w:rsidRPr="00570CC2">
              <w:rPr>
                <w:sz w:val="22"/>
                <w:szCs w:val="22"/>
              </w:rPr>
              <w:t xml:space="preserve">Whatever is required for the 30 year manufacturer’s </w:t>
            </w:r>
            <w:r w:rsidR="002629A6" w:rsidRPr="00570CC2">
              <w:rPr>
                <w:sz w:val="22"/>
                <w:szCs w:val="22"/>
              </w:rPr>
              <w:t>warranty?</w:t>
            </w:r>
          </w:p>
        </w:tc>
      </w:tr>
      <w:tr w:rsidR="002629A6" w:rsidRPr="00570CC2" w:rsidTr="009847DF">
        <w:tc>
          <w:tcPr>
            <w:tcW w:w="1818" w:type="dxa"/>
          </w:tcPr>
          <w:p w:rsidR="002629A6" w:rsidRPr="00570CC2" w:rsidRDefault="002629A6" w:rsidP="00DA0FEA">
            <w:pPr>
              <w:tabs>
                <w:tab w:val="left" w:pos="1980"/>
              </w:tabs>
              <w:rPr>
                <w:sz w:val="22"/>
                <w:szCs w:val="22"/>
              </w:rPr>
            </w:pPr>
          </w:p>
        </w:tc>
        <w:tc>
          <w:tcPr>
            <w:tcW w:w="7038" w:type="dxa"/>
          </w:tcPr>
          <w:p w:rsidR="002629A6" w:rsidRPr="00570CC2" w:rsidRDefault="002629A6" w:rsidP="00DA0FEA">
            <w:pPr>
              <w:tabs>
                <w:tab w:val="left" w:pos="1980"/>
              </w:tabs>
              <w:ind w:left="162"/>
              <w:rPr>
                <w:sz w:val="22"/>
                <w:szCs w:val="22"/>
              </w:rPr>
            </w:pPr>
          </w:p>
        </w:tc>
      </w:tr>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No. 4</w:t>
            </w:r>
          </w:p>
        </w:tc>
        <w:tc>
          <w:tcPr>
            <w:tcW w:w="7038" w:type="dxa"/>
          </w:tcPr>
          <w:p w:rsidR="009847DF" w:rsidRPr="00570CC2" w:rsidRDefault="009847DF" w:rsidP="00DA0FEA">
            <w:pPr>
              <w:tabs>
                <w:tab w:val="left" w:pos="1980"/>
              </w:tabs>
              <w:ind w:left="162"/>
              <w:rPr>
                <w:sz w:val="22"/>
                <w:szCs w:val="22"/>
              </w:rPr>
            </w:pPr>
            <w:r w:rsidRPr="00570CC2">
              <w:rPr>
                <w:sz w:val="22"/>
                <w:szCs w:val="22"/>
              </w:rPr>
              <w:t>Drawing package has a note re gutters:</w:t>
            </w:r>
          </w:p>
          <w:p w:rsidR="009847DF" w:rsidRPr="00570CC2" w:rsidRDefault="009847DF" w:rsidP="00DA0FEA">
            <w:pPr>
              <w:tabs>
                <w:tab w:val="left" w:pos="1980"/>
              </w:tabs>
              <w:ind w:left="162"/>
              <w:rPr>
                <w:sz w:val="22"/>
                <w:szCs w:val="22"/>
              </w:rPr>
            </w:pPr>
            <w:r w:rsidRPr="00570CC2">
              <w:rPr>
                <w:sz w:val="22"/>
                <w:szCs w:val="22"/>
              </w:rPr>
              <w:t>NOTE 5 on D1300361 page 4 of 5 should say: This note applies to the Mid-Station and End-Station on the West Leg only and applies to the large rollup door of each building.</w:t>
            </w:r>
          </w:p>
        </w:tc>
      </w:tr>
      <w:tr w:rsidR="002629A6" w:rsidRPr="00570CC2" w:rsidTr="009847DF">
        <w:tc>
          <w:tcPr>
            <w:tcW w:w="1818" w:type="dxa"/>
          </w:tcPr>
          <w:p w:rsidR="002629A6" w:rsidRPr="00570CC2" w:rsidRDefault="002629A6" w:rsidP="00DA0FEA">
            <w:pPr>
              <w:tabs>
                <w:tab w:val="left" w:pos="1980"/>
              </w:tabs>
              <w:rPr>
                <w:sz w:val="22"/>
                <w:szCs w:val="22"/>
              </w:rPr>
            </w:pPr>
          </w:p>
        </w:tc>
        <w:tc>
          <w:tcPr>
            <w:tcW w:w="7038" w:type="dxa"/>
          </w:tcPr>
          <w:p w:rsidR="002629A6" w:rsidRPr="00570CC2" w:rsidRDefault="002629A6" w:rsidP="00DA0FEA">
            <w:pPr>
              <w:tabs>
                <w:tab w:val="left" w:pos="1980"/>
              </w:tabs>
              <w:ind w:left="162"/>
              <w:rPr>
                <w:sz w:val="22"/>
                <w:szCs w:val="22"/>
              </w:rPr>
            </w:pPr>
          </w:p>
        </w:tc>
      </w:tr>
      <w:tr w:rsidR="009847DF" w:rsidRPr="00570CC2" w:rsidTr="009847DF">
        <w:tc>
          <w:tcPr>
            <w:tcW w:w="1818" w:type="dxa"/>
          </w:tcPr>
          <w:p w:rsidR="009847DF" w:rsidRPr="00570CC2" w:rsidRDefault="009847DF" w:rsidP="00DA0FEA">
            <w:pPr>
              <w:tabs>
                <w:tab w:val="left" w:pos="1980"/>
              </w:tabs>
              <w:rPr>
                <w:sz w:val="22"/>
                <w:szCs w:val="22"/>
              </w:rPr>
            </w:pPr>
            <w:r w:rsidRPr="00570CC2">
              <w:rPr>
                <w:sz w:val="22"/>
                <w:szCs w:val="22"/>
              </w:rPr>
              <w:t>No. 5</w:t>
            </w:r>
          </w:p>
        </w:tc>
        <w:tc>
          <w:tcPr>
            <w:tcW w:w="7038" w:type="dxa"/>
          </w:tcPr>
          <w:p w:rsidR="009847DF" w:rsidRPr="00570CC2" w:rsidRDefault="009847DF" w:rsidP="00DA0FEA">
            <w:pPr>
              <w:tabs>
                <w:tab w:val="left" w:pos="1980"/>
              </w:tabs>
              <w:ind w:left="162"/>
              <w:rPr>
                <w:sz w:val="22"/>
                <w:szCs w:val="22"/>
              </w:rPr>
            </w:pPr>
            <w:r w:rsidRPr="00570CC2">
              <w:rPr>
                <w:sz w:val="22"/>
                <w:szCs w:val="22"/>
              </w:rPr>
              <w:t>Caltech will resend the link to the ITB</w:t>
            </w:r>
            <w:r w:rsidR="002629A6" w:rsidRPr="00570CC2">
              <w:rPr>
                <w:sz w:val="22"/>
                <w:szCs w:val="22"/>
              </w:rPr>
              <w:t>.</w:t>
            </w:r>
          </w:p>
        </w:tc>
      </w:tr>
    </w:tbl>
    <w:p w:rsidR="00C15BB6" w:rsidRPr="00570CC2" w:rsidRDefault="00C15BB6">
      <w:pPr>
        <w:rPr>
          <w:sz w:val="22"/>
          <w:szCs w:val="22"/>
        </w:rPr>
      </w:pPr>
    </w:p>
    <w:p w:rsidR="000A7C86" w:rsidRPr="00570CC2" w:rsidRDefault="000A7C86" w:rsidP="000A7C86">
      <w:pPr>
        <w:rPr>
          <w:sz w:val="22"/>
          <w:szCs w:val="22"/>
        </w:rPr>
      </w:pPr>
      <w:r w:rsidRPr="00570CC2">
        <w:rPr>
          <w:sz w:val="22"/>
          <w:szCs w:val="22"/>
        </w:rPr>
        <w:t>Addendum No. 2, dated 5/31/13</w:t>
      </w:r>
    </w:p>
    <w:p w:rsidR="000A7C86" w:rsidRPr="00570CC2" w:rsidRDefault="000A7C86" w:rsidP="000A7C8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0A7C86" w:rsidRPr="00570CC2" w:rsidTr="00B572C8">
        <w:tc>
          <w:tcPr>
            <w:tcW w:w="1818" w:type="dxa"/>
          </w:tcPr>
          <w:p w:rsidR="000A7C86" w:rsidRPr="00570CC2" w:rsidRDefault="000A7C86" w:rsidP="000A7C86">
            <w:pPr>
              <w:tabs>
                <w:tab w:val="left" w:pos="1980"/>
              </w:tabs>
              <w:rPr>
                <w:sz w:val="22"/>
                <w:szCs w:val="22"/>
              </w:rPr>
            </w:pPr>
            <w:r w:rsidRPr="00570CC2">
              <w:rPr>
                <w:sz w:val="22"/>
                <w:szCs w:val="22"/>
              </w:rPr>
              <w:t>Question No. 6</w:t>
            </w:r>
          </w:p>
        </w:tc>
        <w:tc>
          <w:tcPr>
            <w:tcW w:w="7038" w:type="dxa"/>
          </w:tcPr>
          <w:p w:rsidR="000A7C86" w:rsidRPr="00570CC2" w:rsidRDefault="003A074B" w:rsidP="00B572C8">
            <w:pPr>
              <w:tabs>
                <w:tab w:val="left" w:pos="1980"/>
              </w:tabs>
              <w:ind w:left="162"/>
              <w:rPr>
                <w:sz w:val="22"/>
                <w:szCs w:val="22"/>
              </w:rPr>
            </w:pPr>
            <w:r w:rsidRPr="00570CC2">
              <w:rPr>
                <w:sz w:val="22"/>
                <w:szCs w:val="22"/>
              </w:rPr>
              <w:t>Are we working under HSSA labor rates or Davis Bacon?</w:t>
            </w:r>
          </w:p>
        </w:tc>
      </w:tr>
      <w:tr w:rsidR="000A7C86" w:rsidRPr="00570CC2" w:rsidTr="00B572C8">
        <w:tc>
          <w:tcPr>
            <w:tcW w:w="1818" w:type="dxa"/>
          </w:tcPr>
          <w:p w:rsidR="000A7C86" w:rsidRPr="00570CC2" w:rsidRDefault="000A7C86" w:rsidP="00B572C8">
            <w:pPr>
              <w:tabs>
                <w:tab w:val="left" w:pos="1980"/>
              </w:tabs>
              <w:rPr>
                <w:sz w:val="22"/>
                <w:szCs w:val="22"/>
              </w:rPr>
            </w:pPr>
            <w:r w:rsidRPr="00570CC2">
              <w:rPr>
                <w:sz w:val="22"/>
                <w:szCs w:val="22"/>
              </w:rPr>
              <w:t>Answer No. 6</w:t>
            </w:r>
          </w:p>
        </w:tc>
        <w:tc>
          <w:tcPr>
            <w:tcW w:w="7038" w:type="dxa"/>
          </w:tcPr>
          <w:p w:rsidR="000A7C86" w:rsidRPr="00570CC2" w:rsidRDefault="003A074B" w:rsidP="003D592D">
            <w:pPr>
              <w:tabs>
                <w:tab w:val="left" w:pos="1980"/>
              </w:tabs>
              <w:ind w:left="162"/>
              <w:rPr>
                <w:sz w:val="22"/>
                <w:szCs w:val="22"/>
              </w:rPr>
            </w:pPr>
            <w:r w:rsidRPr="00570CC2">
              <w:rPr>
                <w:spacing w:val="-3"/>
                <w:sz w:val="22"/>
                <w:szCs w:val="22"/>
              </w:rPr>
              <w:t xml:space="preserve">The Department of Energy's Hanford Site Stabilization Agreement will </w:t>
            </w:r>
            <w:r w:rsidRPr="00570CC2">
              <w:rPr>
                <w:b/>
                <w:bCs/>
                <w:spacing w:val="-3"/>
                <w:sz w:val="22"/>
                <w:szCs w:val="22"/>
              </w:rPr>
              <w:t>not</w:t>
            </w:r>
            <w:r w:rsidRPr="00570CC2">
              <w:rPr>
                <w:spacing w:val="-3"/>
                <w:sz w:val="22"/>
                <w:szCs w:val="22"/>
              </w:rPr>
              <w:t xml:space="preserve"> be incorporated into </w:t>
            </w:r>
            <w:r w:rsidR="003D592D">
              <w:rPr>
                <w:spacing w:val="-3"/>
                <w:sz w:val="22"/>
                <w:szCs w:val="22"/>
              </w:rPr>
              <w:t>the</w:t>
            </w:r>
            <w:r w:rsidRPr="00570CC2">
              <w:rPr>
                <w:spacing w:val="-3"/>
                <w:sz w:val="22"/>
                <w:szCs w:val="22"/>
              </w:rPr>
              <w:t xml:space="preserve"> contract.  The National Science Foundation, who sponsors LIGO, has determined that the Davis Bacon Act does not apply.  The Invitation to Bid references "The Memorandum of Understanding Between the California Institute of Technology and the Central Washington Building and Construction Trade Counsel, AFL-CIO for the Laser Interferometer Gravitational Wave Observatory at Hanford </w:t>
            </w:r>
            <w:hyperlink r:id="rId17" w:history="1">
              <w:r w:rsidRPr="00570CC2">
                <w:rPr>
                  <w:rStyle w:val="Hyperlink"/>
                  <w:spacing w:val="-3"/>
                  <w:sz w:val="22"/>
                  <w:szCs w:val="22"/>
                </w:rPr>
                <w:t>C1001971-v1</w:t>
              </w:r>
            </w:hyperlink>
            <w:r w:rsidRPr="00570CC2">
              <w:rPr>
                <w:spacing w:val="-3"/>
                <w:sz w:val="22"/>
                <w:szCs w:val="22"/>
              </w:rPr>
              <w:t>.  Note – The Davis Bacon Act no longer applies." This Memorandum will be incorporated into any resulting contract. In summary union rates apply.</w:t>
            </w:r>
          </w:p>
        </w:tc>
      </w:tr>
      <w:tr w:rsidR="000A7C86" w:rsidRPr="00570CC2" w:rsidTr="00B572C8">
        <w:tc>
          <w:tcPr>
            <w:tcW w:w="1818" w:type="dxa"/>
          </w:tcPr>
          <w:p w:rsidR="000A7C86" w:rsidRPr="00570CC2" w:rsidRDefault="000A7C86" w:rsidP="00B572C8">
            <w:pPr>
              <w:tabs>
                <w:tab w:val="left" w:pos="1980"/>
              </w:tabs>
              <w:rPr>
                <w:sz w:val="22"/>
                <w:szCs w:val="22"/>
              </w:rPr>
            </w:pPr>
          </w:p>
        </w:tc>
        <w:tc>
          <w:tcPr>
            <w:tcW w:w="7038" w:type="dxa"/>
          </w:tcPr>
          <w:p w:rsidR="000A7C86" w:rsidRPr="00570CC2" w:rsidRDefault="000A7C86" w:rsidP="00B572C8">
            <w:pPr>
              <w:tabs>
                <w:tab w:val="left" w:pos="1980"/>
              </w:tabs>
              <w:ind w:left="162"/>
              <w:rPr>
                <w:sz w:val="22"/>
                <w:szCs w:val="22"/>
              </w:rPr>
            </w:pPr>
          </w:p>
        </w:tc>
      </w:tr>
      <w:tr w:rsidR="000A7C86" w:rsidRPr="00570CC2" w:rsidTr="00B572C8">
        <w:tc>
          <w:tcPr>
            <w:tcW w:w="1818" w:type="dxa"/>
          </w:tcPr>
          <w:p w:rsidR="000A7C86" w:rsidRPr="00570CC2" w:rsidRDefault="000A7C86" w:rsidP="00B572C8">
            <w:pPr>
              <w:tabs>
                <w:tab w:val="left" w:pos="1980"/>
              </w:tabs>
              <w:rPr>
                <w:sz w:val="22"/>
                <w:szCs w:val="22"/>
              </w:rPr>
            </w:pPr>
            <w:r w:rsidRPr="00570CC2">
              <w:rPr>
                <w:sz w:val="22"/>
                <w:szCs w:val="22"/>
              </w:rPr>
              <w:t>Question No. 7</w:t>
            </w:r>
          </w:p>
        </w:tc>
        <w:tc>
          <w:tcPr>
            <w:tcW w:w="7038" w:type="dxa"/>
          </w:tcPr>
          <w:p w:rsidR="000A7C86" w:rsidRPr="00570CC2" w:rsidRDefault="00565597" w:rsidP="00B572C8">
            <w:pPr>
              <w:tabs>
                <w:tab w:val="left" w:pos="1980"/>
              </w:tabs>
              <w:ind w:left="162"/>
              <w:rPr>
                <w:sz w:val="22"/>
                <w:szCs w:val="22"/>
              </w:rPr>
            </w:pPr>
            <w:r w:rsidRPr="00570CC2">
              <w:rPr>
                <w:sz w:val="22"/>
                <w:szCs w:val="22"/>
              </w:rPr>
              <w:t>Page 2 of the Vendor Safety Evaluation in the bid package states that the Contractor Safety Evaluation Form must be completed and submitted with the bid if the amount of the bid exceeds $100,000.</w:t>
            </w:r>
          </w:p>
        </w:tc>
      </w:tr>
      <w:tr w:rsidR="000A7C86" w:rsidRPr="00570CC2" w:rsidTr="00B572C8">
        <w:tc>
          <w:tcPr>
            <w:tcW w:w="1818" w:type="dxa"/>
          </w:tcPr>
          <w:p w:rsidR="000A7C86" w:rsidRPr="00570CC2" w:rsidRDefault="000A7C86" w:rsidP="00B572C8">
            <w:pPr>
              <w:tabs>
                <w:tab w:val="left" w:pos="1980"/>
              </w:tabs>
              <w:rPr>
                <w:sz w:val="22"/>
                <w:szCs w:val="22"/>
              </w:rPr>
            </w:pPr>
            <w:r w:rsidRPr="00570CC2">
              <w:rPr>
                <w:sz w:val="22"/>
                <w:szCs w:val="22"/>
              </w:rPr>
              <w:t>Answer No. 7</w:t>
            </w:r>
          </w:p>
          <w:p w:rsidR="000A7C86" w:rsidRPr="00570CC2" w:rsidRDefault="000A7C86" w:rsidP="00B572C8">
            <w:pPr>
              <w:tabs>
                <w:tab w:val="left" w:pos="1980"/>
              </w:tabs>
              <w:rPr>
                <w:sz w:val="22"/>
                <w:szCs w:val="22"/>
              </w:rPr>
            </w:pPr>
          </w:p>
        </w:tc>
        <w:tc>
          <w:tcPr>
            <w:tcW w:w="7038" w:type="dxa"/>
          </w:tcPr>
          <w:p w:rsidR="000A7C86" w:rsidRPr="00570CC2" w:rsidRDefault="00565597" w:rsidP="006B5E07">
            <w:pPr>
              <w:ind w:left="162"/>
              <w:rPr>
                <w:sz w:val="22"/>
                <w:szCs w:val="22"/>
              </w:rPr>
            </w:pPr>
            <w:r w:rsidRPr="00570CC2">
              <w:rPr>
                <w:sz w:val="22"/>
                <w:szCs w:val="22"/>
              </w:rPr>
              <w:t>The LIGO Contractor/Vendor Safety Requirements M100401-v4</w:t>
            </w:r>
            <w:r w:rsidRPr="00570CC2">
              <w:rPr>
                <w:sz w:val="22"/>
                <w:szCs w:val="22"/>
                <w:u w:val="single"/>
              </w:rPr>
              <w:t xml:space="preserve"> requests</w:t>
            </w:r>
            <w:r w:rsidRPr="00570CC2">
              <w:rPr>
                <w:sz w:val="22"/>
                <w:szCs w:val="22"/>
              </w:rPr>
              <w:t xml:space="preserve"> a bidder Safety Plan with the proposal.  The Safety Plan is requested</w:t>
            </w:r>
            <w:r w:rsidR="007422C9">
              <w:rPr>
                <w:sz w:val="22"/>
                <w:szCs w:val="22"/>
              </w:rPr>
              <w:t xml:space="preserve"> but not mandatory with the bid.</w:t>
            </w:r>
            <w:r w:rsidRPr="00570CC2">
              <w:rPr>
                <w:sz w:val="22"/>
                <w:szCs w:val="22"/>
              </w:rPr>
              <w:t xml:space="preserve">  The successful bidder will be required to have a LIGO approved Safety Plan as part of any Caltech contract.</w:t>
            </w:r>
          </w:p>
        </w:tc>
      </w:tr>
      <w:tr w:rsidR="000A7C86" w:rsidRPr="00570CC2" w:rsidTr="00B572C8">
        <w:tc>
          <w:tcPr>
            <w:tcW w:w="1818" w:type="dxa"/>
          </w:tcPr>
          <w:p w:rsidR="000A7C86" w:rsidRPr="00570CC2" w:rsidRDefault="000A7C86" w:rsidP="00B572C8">
            <w:pPr>
              <w:tabs>
                <w:tab w:val="left" w:pos="1980"/>
              </w:tabs>
              <w:rPr>
                <w:sz w:val="22"/>
                <w:szCs w:val="22"/>
              </w:rPr>
            </w:pPr>
          </w:p>
        </w:tc>
        <w:tc>
          <w:tcPr>
            <w:tcW w:w="7038" w:type="dxa"/>
          </w:tcPr>
          <w:p w:rsidR="000A7C86" w:rsidRPr="00570CC2" w:rsidRDefault="000A7C86" w:rsidP="00B572C8">
            <w:pPr>
              <w:tabs>
                <w:tab w:val="left" w:pos="1980"/>
              </w:tabs>
              <w:ind w:left="162"/>
              <w:rPr>
                <w:sz w:val="22"/>
                <w:szCs w:val="22"/>
              </w:rPr>
            </w:pPr>
          </w:p>
        </w:tc>
      </w:tr>
      <w:tr w:rsidR="000A7C86" w:rsidRPr="00570CC2" w:rsidTr="00B572C8">
        <w:tc>
          <w:tcPr>
            <w:tcW w:w="1818" w:type="dxa"/>
          </w:tcPr>
          <w:p w:rsidR="000A7C86" w:rsidRPr="00570CC2" w:rsidRDefault="000A7C86" w:rsidP="00B572C8">
            <w:pPr>
              <w:tabs>
                <w:tab w:val="left" w:pos="1980"/>
              </w:tabs>
              <w:rPr>
                <w:sz w:val="22"/>
                <w:szCs w:val="22"/>
              </w:rPr>
            </w:pPr>
            <w:r w:rsidRPr="00570CC2">
              <w:rPr>
                <w:sz w:val="22"/>
                <w:szCs w:val="22"/>
              </w:rPr>
              <w:t>Question No. 8</w:t>
            </w:r>
          </w:p>
        </w:tc>
        <w:tc>
          <w:tcPr>
            <w:tcW w:w="7038" w:type="dxa"/>
          </w:tcPr>
          <w:p w:rsidR="000A7C86" w:rsidRPr="00570CC2" w:rsidRDefault="00A32C76" w:rsidP="00A32C76">
            <w:pPr>
              <w:ind w:left="162"/>
              <w:rPr>
                <w:sz w:val="22"/>
                <w:szCs w:val="22"/>
              </w:rPr>
            </w:pPr>
            <w:r w:rsidRPr="00570CC2">
              <w:rPr>
                <w:sz w:val="22"/>
                <w:szCs w:val="22"/>
              </w:rPr>
              <w:t xml:space="preserve">Would Caltech want a Hail Damage warranty if offered? </w:t>
            </w:r>
          </w:p>
        </w:tc>
      </w:tr>
      <w:tr w:rsidR="000A7C86" w:rsidRPr="00570CC2" w:rsidTr="00B572C8">
        <w:tc>
          <w:tcPr>
            <w:tcW w:w="1818" w:type="dxa"/>
          </w:tcPr>
          <w:p w:rsidR="000A7C86" w:rsidRPr="00570CC2" w:rsidRDefault="000A7C86" w:rsidP="00B572C8">
            <w:pPr>
              <w:tabs>
                <w:tab w:val="left" w:pos="1980"/>
              </w:tabs>
              <w:rPr>
                <w:sz w:val="22"/>
                <w:szCs w:val="22"/>
              </w:rPr>
            </w:pPr>
            <w:r w:rsidRPr="00570CC2">
              <w:rPr>
                <w:sz w:val="22"/>
                <w:szCs w:val="22"/>
              </w:rPr>
              <w:t>Answer No. 8</w:t>
            </w:r>
          </w:p>
        </w:tc>
        <w:tc>
          <w:tcPr>
            <w:tcW w:w="7038" w:type="dxa"/>
          </w:tcPr>
          <w:p w:rsidR="000A7C86" w:rsidRPr="00570CC2" w:rsidRDefault="00A32C76" w:rsidP="00A32C76">
            <w:pPr>
              <w:ind w:left="162"/>
              <w:rPr>
                <w:sz w:val="22"/>
                <w:szCs w:val="22"/>
              </w:rPr>
            </w:pPr>
            <w:r w:rsidRPr="00570CC2">
              <w:rPr>
                <w:sz w:val="22"/>
                <w:szCs w:val="22"/>
              </w:rPr>
              <w:t>Not needed in LIGO’s opinion.  A Hail Damage warranty may be offered as an additive alternate proposal.</w:t>
            </w:r>
          </w:p>
        </w:tc>
      </w:tr>
      <w:tr w:rsidR="000A7C86" w:rsidRPr="00570CC2" w:rsidTr="00B572C8">
        <w:tc>
          <w:tcPr>
            <w:tcW w:w="1818" w:type="dxa"/>
          </w:tcPr>
          <w:p w:rsidR="000A7C86" w:rsidRPr="00570CC2" w:rsidRDefault="000A7C86" w:rsidP="00B572C8">
            <w:pPr>
              <w:tabs>
                <w:tab w:val="left" w:pos="1980"/>
              </w:tabs>
              <w:rPr>
                <w:sz w:val="22"/>
                <w:szCs w:val="22"/>
              </w:rPr>
            </w:pPr>
          </w:p>
        </w:tc>
        <w:tc>
          <w:tcPr>
            <w:tcW w:w="7038" w:type="dxa"/>
          </w:tcPr>
          <w:p w:rsidR="000A7C86" w:rsidRPr="00570CC2" w:rsidRDefault="000A7C86" w:rsidP="00B572C8">
            <w:pPr>
              <w:tabs>
                <w:tab w:val="left" w:pos="1980"/>
              </w:tabs>
              <w:ind w:left="162"/>
              <w:rPr>
                <w:sz w:val="22"/>
                <w:szCs w:val="22"/>
              </w:rPr>
            </w:pPr>
          </w:p>
        </w:tc>
      </w:tr>
      <w:tr w:rsidR="000A7C86" w:rsidRPr="00570CC2" w:rsidTr="00B572C8">
        <w:tc>
          <w:tcPr>
            <w:tcW w:w="1818" w:type="dxa"/>
          </w:tcPr>
          <w:p w:rsidR="000A7C86" w:rsidRPr="00570CC2" w:rsidRDefault="008F7ED0" w:rsidP="00B572C8">
            <w:pPr>
              <w:tabs>
                <w:tab w:val="left" w:pos="1980"/>
              </w:tabs>
              <w:rPr>
                <w:sz w:val="22"/>
                <w:szCs w:val="22"/>
              </w:rPr>
            </w:pPr>
            <w:r w:rsidRPr="00570CC2">
              <w:rPr>
                <w:sz w:val="22"/>
                <w:szCs w:val="22"/>
              </w:rPr>
              <w:t xml:space="preserve">Question </w:t>
            </w:r>
            <w:r w:rsidR="000A7C86" w:rsidRPr="00570CC2">
              <w:rPr>
                <w:sz w:val="22"/>
                <w:szCs w:val="22"/>
              </w:rPr>
              <w:t>No. 9</w:t>
            </w:r>
          </w:p>
        </w:tc>
        <w:tc>
          <w:tcPr>
            <w:tcW w:w="7038" w:type="dxa"/>
          </w:tcPr>
          <w:p w:rsidR="000A7C86" w:rsidRPr="00570CC2" w:rsidRDefault="00AB329B" w:rsidP="00AB329B">
            <w:pPr>
              <w:ind w:left="162"/>
              <w:rPr>
                <w:sz w:val="22"/>
                <w:szCs w:val="22"/>
              </w:rPr>
            </w:pPr>
            <w:r w:rsidRPr="00570CC2">
              <w:rPr>
                <w:sz w:val="22"/>
                <w:szCs w:val="22"/>
              </w:rPr>
              <w:t xml:space="preserve">Will the selected contractor provide a generator for power or can LIGO supply power?  </w:t>
            </w:r>
          </w:p>
        </w:tc>
      </w:tr>
      <w:tr w:rsidR="000A7C86" w:rsidRPr="00570CC2" w:rsidTr="00B572C8">
        <w:tc>
          <w:tcPr>
            <w:tcW w:w="1818" w:type="dxa"/>
          </w:tcPr>
          <w:p w:rsidR="000A7C86" w:rsidRPr="00570CC2" w:rsidRDefault="008F7ED0" w:rsidP="00AB329B">
            <w:pPr>
              <w:tabs>
                <w:tab w:val="left" w:pos="1980"/>
              </w:tabs>
              <w:rPr>
                <w:sz w:val="22"/>
                <w:szCs w:val="22"/>
              </w:rPr>
            </w:pPr>
            <w:r w:rsidRPr="00570CC2">
              <w:rPr>
                <w:sz w:val="22"/>
                <w:szCs w:val="22"/>
              </w:rPr>
              <w:t xml:space="preserve">Answer </w:t>
            </w:r>
            <w:r w:rsidR="000A7C86" w:rsidRPr="00570CC2">
              <w:rPr>
                <w:sz w:val="22"/>
                <w:szCs w:val="22"/>
              </w:rPr>
              <w:t xml:space="preserve">No. </w:t>
            </w:r>
            <w:r w:rsidR="00AB329B" w:rsidRPr="00570CC2">
              <w:rPr>
                <w:sz w:val="22"/>
                <w:szCs w:val="22"/>
              </w:rPr>
              <w:t>9</w:t>
            </w:r>
          </w:p>
        </w:tc>
        <w:tc>
          <w:tcPr>
            <w:tcW w:w="7038" w:type="dxa"/>
          </w:tcPr>
          <w:p w:rsidR="000A7C86" w:rsidRPr="00570CC2" w:rsidRDefault="00AB329B" w:rsidP="00AB329B">
            <w:pPr>
              <w:ind w:left="162"/>
              <w:rPr>
                <w:sz w:val="22"/>
                <w:szCs w:val="22"/>
              </w:rPr>
            </w:pPr>
            <w:r w:rsidRPr="00570CC2">
              <w:rPr>
                <w:sz w:val="22"/>
                <w:szCs w:val="22"/>
              </w:rPr>
              <w:t>LIGO has a small number of 110 volt circuits available on the building exteriors which the contractor may use.</w:t>
            </w:r>
          </w:p>
        </w:tc>
      </w:tr>
      <w:tr w:rsidR="00AB329B" w:rsidRPr="00570CC2" w:rsidTr="00B572C8">
        <w:tc>
          <w:tcPr>
            <w:tcW w:w="1818" w:type="dxa"/>
          </w:tcPr>
          <w:p w:rsidR="00AB329B" w:rsidRPr="00570CC2" w:rsidRDefault="00AB329B" w:rsidP="00AB329B">
            <w:pPr>
              <w:tabs>
                <w:tab w:val="left" w:pos="1980"/>
              </w:tabs>
              <w:rPr>
                <w:sz w:val="22"/>
                <w:szCs w:val="22"/>
              </w:rPr>
            </w:pPr>
          </w:p>
        </w:tc>
        <w:tc>
          <w:tcPr>
            <w:tcW w:w="7038" w:type="dxa"/>
          </w:tcPr>
          <w:p w:rsidR="00AB329B" w:rsidRPr="00570CC2" w:rsidRDefault="00AB329B" w:rsidP="00AB329B">
            <w:pPr>
              <w:ind w:left="162"/>
              <w:rPr>
                <w:sz w:val="22"/>
                <w:szCs w:val="22"/>
              </w:rPr>
            </w:pPr>
          </w:p>
        </w:tc>
      </w:tr>
      <w:tr w:rsidR="00AB329B" w:rsidRPr="00570CC2" w:rsidTr="00B572C8">
        <w:tc>
          <w:tcPr>
            <w:tcW w:w="1818" w:type="dxa"/>
          </w:tcPr>
          <w:p w:rsidR="00AB329B" w:rsidRPr="00570CC2" w:rsidRDefault="008F7ED0" w:rsidP="00AB329B">
            <w:pPr>
              <w:tabs>
                <w:tab w:val="left" w:pos="1980"/>
              </w:tabs>
              <w:rPr>
                <w:sz w:val="22"/>
                <w:szCs w:val="22"/>
              </w:rPr>
            </w:pPr>
            <w:r w:rsidRPr="00570CC2">
              <w:rPr>
                <w:sz w:val="22"/>
                <w:szCs w:val="22"/>
              </w:rPr>
              <w:t>Question No. 10</w:t>
            </w:r>
          </w:p>
        </w:tc>
        <w:tc>
          <w:tcPr>
            <w:tcW w:w="7038" w:type="dxa"/>
          </w:tcPr>
          <w:p w:rsidR="00AB329B" w:rsidRPr="00570CC2" w:rsidRDefault="008F7ED0" w:rsidP="008F7ED0">
            <w:pPr>
              <w:ind w:left="162"/>
              <w:rPr>
                <w:sz w:val="22"/>
                <w:szCs w:val="22"/>
              </w:rPr>
            </w:pPr>
            <w:r w:rsidRPr="00570CC2">
              <w:rPr>
                <w:sz w:val="22"/>
                <w:szCs w:val="22"/>
              </w:rPr>
              <w:t>What is the likely time frame between selection and award? How much time is required for NSF approval?</w:t>
            </w:r>
          </w:p>
        </w:tc>
      </w:tr>
      <w:tr w:rsidR="00AB329B" w:rsidRPr="00570CC2" w:rsidTr="00B572C8">
        <w:tc>
          <w:tcPr>
            <w:tcW w:w="1818" w:type="dxa"/>
          </w:tcPr>
          <w:p w:rsidR="00AB329B" w:rsidRPr="00570CC2" w:rsidRDefault="008F7ED0" w:rsidP="00AB329B">
            <w:pPr>
              <w:tabs>
                <w:tab w:val="left" w:pos="1980"/>
              </w:tabs>
              <w:rPr>
                <w:sz w:val="22"/>
                <w:szCs w:val="22"/>
              </w:rPr>
            </w:pPr>
            <w:r w:rsidRPr="00570CC2">
              <w:rPr>
                <w:sz w:val="22"/>
                <w:szCs w:val="22"/>
              </w:rPr>
              <w:t>Answer No. 10</w:t>
            </w:r>
          </w:p>
        </w:tc>
        <w:tc>
          <w:tcPr>
            <w:tcW w:w="7038" w:type="dxa"/>
          </w:tcPr>
          <w:p w:rsidR="00AB329B" w:rsidRPr="00570CC2" w:rsidRDefault="008F7ED0" w:rsidP="008F7ED0">
            <w:pPr>
              <w:ind w:left="162"/>
              <w:rPr>
                <w:sz w:val="22"/>
                <w:szCs w:val="22"/>
              </w:rPr>
            </w:pPr>
            <w:r w:rsidRPr="00570CC2">
              <w:rPr>
                <w:sz w:val="22"/>
                <w:szCs w:val="22"/>
              </w:rPr>
              <w:t>NSF approval is 30 days after selection.  This notice is usually a few weeks.</w:t>
            </w:r>
          </w:p>
        </w:tc>
      </w:tr>
      <w:tr w:rsidR="008F7ED0" w:rsidRPr="00570CC2" w:rsidTr="00B572C8">
        <w:tc>
          <w:tcPr>
            <w:tcW w:w="1818" w:type="dxa"/>
          </w:tcPr>
          <w:p w:rsidR="008F7ED0" w:rsidRPr="00570CC2" w:rsidRDefault="008F7ED0" w:rsidP="00AB329B">
            <w:pPr>
              <w:tabs>
                <w:tab w:val="left" w:pos="1980"/>
              </w:tabs>
              <w:rPr>
                <w:sz w:val="22"/>
                <w:szCs w:val="22"/>
              </w:rPr>
            </w:pPr>
          </w:p>
        </w:tc>
        <w:tc>
          <w:tcPr>
            <w:tcW w:w="7038" w:type="dxa"/>
          </w:tcPr>
          <w:p w:rsidR="008F7ED0" w:rsidRPr="00570CC2" w:rsidRDefault="008F7ED0" w:rsidP="00AB329B">
            <w:pPr>
              <w:ind w:left="162"/>
              <w:rPr>
                <w:sz w:val="22"/>
                <w:szCs w:val="22"/>
              </w:rPr>
            </w:pPr>
          </w:p>
        </w:tc>
      </w:tr>
      <w:tr w:rsidR="008F7ED0" w:rsidRPr="00570CC2" w:rsidTr="00B572C8">
        <w:tc>
          <w:tcPr>
            <w:tcW w:w="1818" w:type="dxa"/>
          </w:tcPr>
          <w:p w:rsidR="008F7ED0" w:rsidRPr="00570CC2" w:rsidRDefault="007422C9" w:rsidP="008E49D6">
            <w:pPr>
              <w:tabs>
                <w:tab w:val="left" w:pos="1980"/>
              </w:tabs>
              <w:rPr>
                <w:sz w:val="22"/>
                <w:szCs w:val="22"/>
              </w:rPr>
            </w:pPr>
            <w:r>
              <w:rPr>
                <w:sz w:val="22"/>
                <w:szCs w:val="22"/>
              </w:rPr>
              <w:t>Question No.</w:t>
            </w:r>
            <w:r w:rsidR="008F7ED0" w:rsidRPr="00570CC2">
              <w:rPr>
                <w:sz w:val="22"/>
                <w:szCs w:val="22"/>
              </w:rPr>
              <w:t>1</w:t>
            </w:r>
            <w:r w:rsidR="008E49D6">
              <w:rPr>
                <w:sz w:val="22"/>
                <w:szCs w:val="22"/>
              </w:rPr>
              <w:t>1</w:t>
            </w:r>
          </w:p>
        </w:tc>
        <w:tc>
          <w:tcPr>
            <w:tcW w:w="7038" w:type="dxa"/>
          </w:tcPr>
          <w:p w:rsidR="008F7ED0" w:rsidRPr="00570CC2" w:rsidRDefault="008F7ED0" w:rsidP="008F7ED0">
            <w:pPr>
              <w:ind w:left="162"/>
              <w:rPr>
                <w:sz w:val="22"/>
                <w:szCs w:val="22"/>
              </w:rPr>
            </w:pPr>
            <w:r w:rsidRPr="00570CC2">
              <w:rPr>
                <w:sz w:val="22"/>
                <w:szCs w:val="22"/>
              </w:rPr>
              <w:t>What specific lightning protection equipment must be procured?  What quantities are needed?</w:t>
            </w:r>
          </w:p>
        </w:tc>
      </w:tr>
      <w:tr w:rsidR="008F7ED0" w:rsidRPr="00570CC2" w:rsidTr="00B572C8">
        <w:tc>
          <w:tcPr>
            <w:tcW w:w="1818" w:type="dxa"/>
          </w:tcPr>
          <w:p w:rsidR="008F7ED0" w:rsidRPr="00570CC2" w:rsidRDefault="008F7ED0" w:rsidP="008E49D6">
            <w:pPr>
              <w:tabs>
                <w:tab w:val="left" w:pos="1980"/>
              </w:tabs>
              <w:rPr>
                <w:sz w:val="22"/>
                <w:szCs w:val="22"/>
              </w:rPr>
            </w:pPr>
            <w:r w:rsidRPr="00570CC2">
              <w:rPr>
                <w:sz w:val="22"/>
                <w:szCs w:val="22"/>
              </w:rPr>
              <w:t>Answer No. 1</w:t>
            </w:r>
            <w:r w:rsidR="008E49D6">
              <w:rPr>
                <w:sz w:val="22"/>
                <w:szCs w:val="22"/>
              </w:rPr>
              <w:t>1</w:t>
            </w:r>
          </w:p>
        </w:tc>
        <w:tc>
          <w:tcPr>
            <w:tcW w:w="7038" w:type="dxa"/>
          </w:tcPr>
          <w:p w:rsidR="00347C54" w:rsidRDefault="00347C54" w:rsidP="00347C54">
            <w:pPr>
              <w:ind w:left="162"/>
              <w:rPr>
                <w:sz w:val="22"/>
                <w:szCs w:val="22"/>
              </w:rPr>
            </w:pPr>
            <w:r w:rsidRPr="00347C54">
              <w:rPr>
                <w:sz w:val="22"/>
                <w:szCs w:val="22"/>
              </w:rPr>
              <w:t>Provide and install new lightning arrest</w:t>
            </w:r>
            <w:r>
              <w:rPr>
                <w:sz w:val="22"/>
                <w:szCs w:val="22"/>
              </w:rPr>
              <w:t xml:space="preserve">or tripods and the cable pads.  </w:t>
            </w:r>
            <w:r w:rsidRPr="00347C54">
              <w:rPr>
                <w:sz w:val="22"/>
                <w:szCs w:val="22"/>
              </w:rPr>
              <w:t>Hardware from VFC Inc. 801-512-5824. Chuck Neve.</w:t>
            </w:r>
          </w:p>
          <w:p w:rsidR="00347C54" w:rsidRDefault="00347C54" w:rsidP="00347C54">
            <w:pPr>
              <w:ind w:left="162"/>
              <w:rPr>
                <w:sz w:val="22"/>
                <w:szCs w:val="22"/>
              </w:rPr>
            </w:pPr>
            <w:r w:rsidRPr="00347C54">
              <w:rPr>
                <w:sz w:val="22"/>
                <w:szCs w:val="22"/>
              </w:rPr>
              <w:t>The t</w:t>
            </w:r>
            <w:r>
              <w:rPr>
                <w:sz w:val="22"/>
                <w:szCs w:val="22"/>
              </w:rPr>
              <w:t xml:space="preserve">ripod pad count is 300 tripods. </w:t>
            </w:r>
            <w:r w:rsidRPr="00347C54">
              <w:rPr>
                <w:sz w:val="22"/>
                <w:szCs w:val="22"/>
              </w:rPr>
              <w:t xml:space="preserve"> Part number A140-18AD(300 tripods), A140-24AD (5 tripods)</w:t>
            </w:r>
            <w:r>
              <w:rPr>
                <w:sz w:val="22"/>
                <w:szCs w:val="22"/>
              </w:rPr>
              <w:t>.</w:t>
            </w:r>
          </w:p>
          <w:p w:rsidR="00D12AEE" w:rsidRPr="00347C54" w:rsidRDefault="00347C54" w:rsidP="00347C54">
            <w:pPr>
              <w:ind w:left="162"/>
              <w:rPr>
                <w:sz w:val="22"/>
                <w:szCs w:val="22"/>
              </w:rPr>
            </w:pPr>
            <w:r w:rsidRPr="00347C54">
              <w:rPr>
                <w:sz w:val="22"/>
                <w:szCs w:val="22"/>
              </w:rPr>
              <w:t>The cable mount count is 1,942 (5,825 lf of cable at 3ft spacing) part number A262</w:t>
            </w:r>
            <w:r w:rsidR="008B3724">
              <w:rPr>
                <w:sz w:val="22"/>
                <w:szCs w:val="22"/>
              </w:rPr>
              <w:t>.</w:t>
            </w:r>
            <w:bookmarkStart w:id="0" w:name="_GoBack"/>
            <w:bookmarkEnd w:id="0"/>
          </w:p>
        </w:tc>
      </w:tr>
      <w:tr w:rsidR="008F7ED0" w:rsidRPr="00570CC2" w:rsidTr="00B572C8">
        <w:tc>
          <w:tcPr>
            <w:tcW w:w="1818" w:type="dxa"/>
          </w:tcPr>
          <w:p w:rsidR="008F7ED0" w:rsidRPr="00570CC2" w:rsidRDefault="008F7ED0" w:rsidP="008F7ED0">
            <w:pPr>
              <w:tabs>
                <w:tab w:val="left" w:pos="1980"/>
              </w:tabs>
              <w:rPr>
                <w:sz w:val="22"/>
                <w:szCs w:val="22"/>
              </w:rPr>
            </w:pPr>
          </w:p>
        </w:tc>
        <w:tc>
          <w:tcPr>
            <w:tcW w:w="7038" w:type="dxa"/>
          </w:tcPr>
          <w:p w:rsidR="008F7ED0" w:rsidRPr="00570CC2" w:rsidRDefault="008F7ED0" w:rsidP="0066588F">
            <w:pPr>
              <w:ind w:left="162"/>
              <w:rPr>
                <w:sz w:val="22"/>
                <w:szCs w:val="22"/>
                <w:highlight w:val="yellow"/>
              </w:rPr>
            </w:pPr>
          </w:p>
        </w:tc>
      </w:tr>
      <w:tr w:rsidR="0066588F" w:rsidRPr="00570CC2" w:rsidTr="00B572C8">
        <w:tc>
          <w:tcPr>
            <w:tcW w:w="1818" w:type="dxa"/>
          </w:tcPr>
          <w:p w:rsidR="0066588F" w:rsidRPr="00570CC2" w:rsidRDefault="0066588F" w:rsidP="008E49D6">
            <w:pPr>
              <w:tabs>
                <w:tab w:val="left" w:pos="1980"/>
              </w:tabs>
              <w:rPr>
                <w:sz w:val="22"/>
                <w:szCs w:val="22"/>
              </w:rPr>
            </w:pPr>
            <w:r w:rsidRPr="00570CC2">
              <w:rPr>
                <w:sz w:val="22"/>
                <w:szCs w:val="22"/>
              </w:rPr>
              <w:t>Question No. 1</w:t>
            </w:r>
            <w:r w:rsidR="008E49D6">
              <w:rPr>
                <w:sz w:val="22"/>
                <w:szCs w:val="22"/>
              </w:rPr>
              <w:t>2</w:t>
            </w:r>
          </w:p>
        </w:tc>
        <w:tc>
          <w:tcPr>
            <w:tcW w:w="7038" w:type="dxa"/>
          </w:tcPr>
          <w:p w:rsidR="0066588F" w:rsidRPr="00570CC2" w:rsidRDefault="00FF28CA" w:rsidP="00AB329B">
            <w:pPr>
              <w:ind w:left="162"/>
              <w:rPr>
                <w:sz w:val="22"/>
                <w:szCs w:val="22"/>
                <w:highlight w:val="yellow"/>
              </w:rPr>
            </w:pPr>
            <w:r w:rsidRPr="00570CC2">
              <w:rPr>
                <w:sz w:val="22"/>
                <w:szCs w:val="22"/>
              </w:rPr>
              <w:t>Will LIGO perform a test for asbestos?</w:t>
            </w:r>
          </w:p>
        </w:tc>
      </w:tr>
      <w:tr w:rsidR="0066588F" w:rsidRPr="00570CC2" w:rsidTr="00B572C8">
        <w:tc>
          <w:tcPr>
            <w:tcW w:w="1818" w:type="dxa"/>
          </w:tcPr>
          <w:p w:rsidR="0066588F" w:rsidRPr="00570CC2" w:rsidRDefault="0066588F" w:rsidP="00B572C8">
            <w:pPr>
              <w:tabs>
                <w:tab w:val="left" w:pos="1980"/>
              </w:tabs>
              <w:rPr>
                <w:sz w:val="22"/>
                <w:szCs w:val="22"/>
              </w:rPr>
            </w:pPr>
            <w:r w:rsidRPr="00570CC2">
              <w:rPr>
                <w:sz w:val="22"/>
                <w:szCs w:val="22"/>
              </w:rPr>
              <w:t>Answer No. 1</w:t>
            </w:r>
            <w:r w:rsidR="008E49D6">
              <w:rPr>
                <w:sz w:val="22"/>
                <w:szCs w:val="22"/>
              </w:rPr>
              <w:t>2</w:t>
            </w:r>
          </w:p>
        </w:tc>
        <w:tc>
          <w:tcPr>
            <w:tcW w:w="7038" w:type="dxa"/>
          </w:tcPr>
          <w:p w:rsidR="0066588F" w:rsidRPr="00570CC2" w:rsidRDefault="0066588F" w:rsidP="00AB329B">
            <w:pPr>
              <w:ind w:left="162"/>
              <w:rPr>
                <w:sz w:val="22"/>
                <w:szCs w:val="22"/>
                <w:highlight w:val="yellow"/>
              </w:rPr>
            </w:pPr>
            <w:r w:rsidRPr="00570CC2">
              <w:rPr>
                <w:sz w:val="22"/>
                <w:szCs w:val="22"/>
              </w:rPr>
              <w:t>Asbestos materials in construction were phased out starting in the late 70's and entirely in the 80's. Testing is not necessary for the buildings built in the late 90's.</w:t>
            </w:r>
          </w:p>
        </w:tc>
      </w:tr>
      <w:tr w:rsidR="008F7ED0" w:rsidRPr="00570CC2" w:rsidTr="00B572C8">
        <w:tc>
          <w:tcPr>
            <w:tcW w:w="1818" w:type="dxa"/>
          </w:tcPr>
          <w:p w:rsidR="008F7ED0" w:rsidRPr="00570CC2" w:rsidRDefault="008F7ED0" w:rsidP="008F7ED0">
            <w:pPr>
              <w:tabs>
                <w:tab w:val="left" w:pos="1980"/>
              </w:tabs>
              <w:rPr>
                <w:sz w:val="22"/>
                <w:szCs w:val="22"/>
              </w:rPr>
            </w:pPr>
          </w:p>
        </w:tc>
        <w:tc>
          <w:tcPr>
            <w:tcW w:w="7038" w:type="dxa"/>
          </w:tcPr>
          <w:p w:rsidR="008F7ED0" w:rsidRPr="00570CC2" w:rsidRDefault="008F7ED0" w:rsidP="00AB329B">
            <w:pPr>
              <w:ind w:left="162"/>
              <w:rPr>
                <w:sz w:val="22"/>
                <w:szCs w:val="22"/>
              </w:rPr>
            </w:pPr>
          </w:p>
        </w:tc>
      </w:tr>
      <w:tr w:rsidR="000154A2" w:rsidRPr="00570CC2" w:rsidTr="00B572C8">
        <w:tc>
          <w:tcPr>
            <w:tcW w:w="1818" w:type="dxa"/>
          </w:tcPr>
          <w:p w:rsidR="000154A2" w:rsidRPr="00570CC2" w:rsidRDefault="000154A2" w:rsidP="008E49D6">
            <w:pPr>
              <w:tabs>
                <w:tab w:val="left" w:pos="1980"/>
              </w:tabs>
              <w:rPr>
                <w:sz w:val="22"/>
                <w:szCs w:val="22"/>
              </w:rPr>
            </w:pPr>
            <w:r w:rsidRPr="00570CC2">
              <w:rPr>
                <w:sz w:val="22"/>
                <w:szCs w:val="22"/>
              </w:rPr>
              <w:t>Question No. 1</w:t>
            </w:r>
            <w:r w:rsidR="008E49D6">
              <w:rPr>
                <w:sz w:val="22"/>
                <w:szCs w:val="22"/>
              </w:rPr>
              <w:t>3</w:t>
            </w:r>
          </w:p>
        </w:tc>
        <w:tc>
          <w:tcPr>
            <w:tcW w:w="7038" w:type="dxa"/>
          </w:tcPr>
          <w:p w:rsidR="000154A2" w:rsidRPr="00570CC2" w:rsidRDefault="000154A2" w:rsidP="000154A2">
            <w:pPr>
              <w:ind w:left="162"/>
              <w:rPr>
                <w:sz w:val="22"/>
                <w:szCs w:val="22"/>
              </w:rPr>
            </w:pPr>
            <w:r w:rsidRPr="00570CC2">
              <w:rPr>
                <w:sz w:val="22"/>
                <w:szCs w:val="22"/>
              </w:rPr>
              <w:t>Substitution request for Carlisle Syntec's SureWhite EPDM roofing system to provide the 30 year 100 mph wind speed warranty based on incorporating the 5/8" Dens Deck Prime coverboard over polyiso insulation instead of the 1/2" high density polyisocyanurate cover board.</w:t>
            </w:r>
          </w:p>
        </w:tc>
      </w:tr>
      <w:tr w:rsidR="000154A2" w:rsidRPr="00570CC2" w:rsidTr="00B572C8">
        <w:tc>
          <w:tcPr>
            <w:tcW w:w="1818" w:type="dxa"/>
          </w:tcPr>
          <w:p w:rsidR="000154A2" w:rsidRPr="00570CC2" w:rsidRDefault="000154A2" w:rsidP="008E49D6">
            <w:pPr>
              <w:tabs>
                <w:tab w:val="left" w:pos="1980"/>
              </w:tabs>
              <w:rPr>
                <w:sz w:val="22"/>
                <w:szCs w:val="22"/>
              </w:rPr>
            </w:pPr>
            <w:r w:rsidRPr="00570CC2">
              <w:rPr>
                <w:sz w:val="22"/>
                <w:szCs w:val="22"/>
              </w:rPr>
              <w:t>Answer No. 1</w:t>
            </w:r>
            <w:r w:rsidR="008E49D6">
              <w:rPr>
                <w:sz w:val="22"/>
                <w:szCs w:val="22"/>
              </w:rPr>
              <w:t>3</w:t>
            </w:r>
          </w:p>
        </w:tc>
        <w:tc>
          <w:tcPr>
            <w:tcW w:w="7038" w:type="dxa"/>
          </w:tcPr>
          <w:p w:rsidR="000154A2" w:rsidRPr="00570CC2" w:rsidRDefault="007C5595" w:rsidP="00570CC2">
            <w:pPr>
              <w:ind w:left="162"/>
              <w:rPr>
                <w:sz w:val="22"/>
                <w:szCs w:val="22"/>
                <w:highlight w:val="yellow"/>
              </w:rPr>
            </w:pPr>
            <w:r w:rsidRPr="003D592D">
              <w:rPr>
                <w:sz w:val="22"/>
                <w:szCs w:val="22"/>
              </w:rPr>
              <w:t>A bid must be submitted for the ITB requirements.  This substitution may be offered as an alternate proposal.</w:t>
            </w:r>
            <w:r w:rsidR="008E5698" w:rsidRPr="00570CC2">
              <w:rPr>
                <w:sz w:val="22"/>
                <w:szCs w:val="22"/>
              </w:rPr>
              <w:t xml:space="preserve">  </w:t>
            </w:r>
            <w:r w:rsidR="00570CC2" w:rsidRPr="00570CC2">
              <w:rPr>
                <w:sz w:val="22"/>
                <w:szCs w:val="22"/>
              </w:rPr>
              <w:t>The criteria is a roofing system with a 30-year warranty whose details are similar to that detailed in the specification; and that the manufacturer who stands behind that warranty has the financial depth to reasonably be expected to continue in business for the duration of the warranty.</w:t>
            </w:r>
          </w:p>
        </w:tc>
      </w:tr>
      <w:tr w:rsidR="007C5595" w:rsidRPr="00570CC2" w:rsidTr="00B572C8">
        <w:tc>
          <w:tcPr>
            <w:tcW w:w="1818" w:type="dxa"/>
          </w:tcPr>
          <w:p w:rsidR="007C5595" w:rsidRPr="00570CC2" w:rsidRDefault="007C5595" w:rsidP="00B572C8">
            <w:pPr>
              <w:tabs>
                <w:tab w:val="left" w:pos="1980"/>
              </w:tabs>
              <w:rPr>
                <w:sz w:val="22"/>
                <w:szCs w:val="22"/>
              </w:rPr>
            </w:pPr>
          </w:p>
        </w:tc>
        <w:tc>
          <w:tcPr>
            <w:tcW w:w="7038" w:type="dxa"/>
          </w:tcPr>
          <w:p w:rsidR="007C5595" w:rsidRPr="00570CC2" w:rsidRDefault="007C5595" w:rsidP="007C5595">
            <w:pPr>
              <w:ind w:left="162"/>
              <w:rPr>
                <w:sz w:val="22"/>
                <w:szCs w:val="22"/>
              </w:rPr>
            </w:pPr>
          </w:p>
        </w:tc>
      </w:tr>
      <w:tr w:rsidR="007C5595" w:rsidRPr="00570CC2" w:rsidTr="00B572C8">
        <w:tc>
          <w:tcPr>
            <w:tcW w:w="1818" w:type="dxa"/>
          </w:tcPr>
          <w:p w:rsidR="007C5595" w:rsidRPr="00570CC2" w:rsidRDefault="007C5595" w:rsidP="008E49D6">
            <w:pPr>
              <w:tabs>
                <w:tab w:val="left" w:pos="1980"/>
              </w:tabs>
              <w:rPr>
                <w:sz w:val="22"/>
                <w:szCs w:val="22"/>
              </w:rPr>
            </w:pPr>
            <w:r w:rsidRPr="00570CC2">
              <w:rPr>
                <w:sz w:val="22"/>
                <w:szCs w:val="22"/>
              </w:rPr>
              <w:t>Question No. 1</w:t>
            </w:r>
            <w:r w:rsidR="008E49D6">
              <w:rPr>
                <w:sz w:val="22"/>
                <w:szCs w:val="22"/>
              </w:rPr>
              <w:t>4</w:t>
            </w:r>
          </w:p>
        </w:tc>
        <w:tc>
          <w:tcPr>
            <w:tcW w:w="7038" w:type="dxa"/>
          </w:tcPr>
          <w:p w:rsidR="007C5595" w:rsidRPr="00570CC2" w:rsidRDefault="00AD7B3F" w:rsidP="007C5595">
            <w:pPr>
              <w:ind w:left="162"/>
              <w:rPr>
                <w:sz w:val="22"/>
                <w:szCs w:val="22"/>
              </w:rPr>
            </w:pPr>
            <w:r w:rsidRPr="00570CC2">
              <w:rPr>
                <w:sz w:val="22"/>
                <w:szCs w:val="22"/>
              </w:rPr>
              <w:t>Has the bid bond percentage been determined for the referenced project – 5, 10 or 20%?</w:t>
            </w:r>
          </w:p>
        </w:tc>
      </w:tr>
      <w:tr w:rsidR="007C5595" w:rsidRPr="00570CC2" w:rsidTr="00B572C8">
        <w:tc>
          <w:tcPr>
            <w:tcW w:w="1818" w:type="dxa"/>
          </w:tcPr>
          <w:p w:rsidR="007C5595" w:rsidRPr="00570CC2" w:rsidRDefault="007C5595" w:rsidP="008E49D6">
            <w:pPr>
              <w:tabs>
                <w:tab w:val="left" w:pos="1980"/>
              </w:tabs>
              <w:rPr>
                <w:sz w:val="22"/>
                <w:szCs w:val="22"/>
              </w:rPr>
            </w:pPr>
            <w:r w:rsidRPr="00570CC2">
              <w:rPr>
                <w:sz w:val="22"/>
                <w:szCs w:val="22"/>
              </w:rPr>
              <w:t>Answer No. 1</w:t>
            </w:r>
            <w:r w:rsidR="008E49D6">
              <w:rPr>
                <w:sz w:val="22"/>
                <w:szCs w:val="22"/>
              </w:rPr>
              <w:t>4</w:t>
            </w:r>
          </w:p>
        </w:tc>
        <w:tc>
          <w:tcPr>
            <w:tcW w:w="7038" w:type="dxa"/>
          </w:tcPr>
          <w:p w:rsidR="007C5595" w:rsidRPr="00570CC2" w:rsidRDefault="00AD7B3F" w:rsidP="007C5595">
            <w:pPr>
              <w:ind w:left="162"/>
              <w:rPr>
                <w:sz w:val="22"/>
                <w:szCs w:val="22"/>
              </w:rPr>
            </w:pPr>
            <w:r w:rsidRPr="00570CC2">
              <w:rPr>
                <w:sz w:val="22"/>
                <w:szCs w:val="22"/>
              </w:rPr>
              <w:t>5%</w:t>
            </w:r>
          </w:p>
        </w:tc>
      </w:tr>
      <w:tr w:rsidR="00B54FEC" w:rsidRPr="00570CC2" w:rsidTr="00B572C8">
        <w:tc>
          <w:tcPr>
            <w:tcW w:w="1818" w:type="dxa"/>
          </w:tcPr>
          <w:p w:rsidR="00B54FEC" w:rsidRPr="00570CC2" w:rsidRDefault="00B54FEC" w:rsidP="00AD7B3F">
            <w:pPr>
              <w:tabs>
                <w:tab w:val="left" w:pos="1980"/>
              </w:tabs>
              <w:rPr>
                <w:sz w:val="22"/>
                <w:szCs w:val="22"/>
              </w:rPr>
            </w:pPr>
          </w:p>
        </w:tc>
        <w:tc>
          <w:tcPr>
            <w:tcW w:w="7038" w:type="dxa"/>
          </w:tcPr>
          <w:p w:rsidR="00B54FEC" w:rsidRPr="00570CC2" w:rsidRDefault="00B54FEC" w:rsidP="007C5595">
            <w:pPr>
              <w:ind w:left="162"/>
              <w:rPr>
                <w:sz w:val="22"/>
                <w:szCs w:val="22"/>
              </w:rPr>
            </w:pPr>
          </w:p>
        </w:tc>
      </w:tr>
      <w:tr w:rsidR="007C6A3D" w:rsidRPr="00570CC2" w:rsidTr="00B572C8">
        <w:tc>
          <w:tcPr>
            <w:tcW w:w="1818" w:type="dxa"/>
          </w:tcPr>
          <w:p w:rsidR="007C6A3D" w:rsidRPr="00570CC2" w:rsidRDefault="007C6A3D" w:rsidP="00AD7B3F">
            <w:pPr>
              <w:tabs>
                <w:tab w:val="left" w:pos="1980"/>
              </w:tabs>
              <w:rPr>
                <w:sz w:val="22"/>
                <w:szCs w:val="22"/>
              </w:rPr>
            </w:pPr>
            <w:r>
              <w:rPr>
                <w:sz w:val="22"/>
                <w:szCs w:val="22"/>
              </w:rPr>
              <w:t>Question No. 15</w:t>
            </w:r>
          </w:p>
        </w:tc>
        <w:tc>
          <w:tcPr>
            <w:tcW w:w="7038" w:type="dxa"/>
          </w:tcPr>
          <w:p w:rsidR="007C6A3D" w:rsidRPr="007C6A3D" w:rsidRDefault="007C6A3D" w:rsidP="007C5595">
            <w:pPr>
              <w:ind w:left="162"/>
              <w:rPr>
                <w:sz w:val="22"/>
                <w:szCs w:val="22"/>
              </w:rPr>
            </w:pPr>
            <w:r w:rsidRPr="007C6A3D">
              <w:rPr>
                <w:sz w:val="22"/>
                <w:szCs w:val="22"/>
              </w:rPr>
              <w:t>RFI manufactures will require a</w:t>
            </w:r>
            <w:r>
              <w:rPr>
                <w:sz w:val="22"/>
                <w:szCs w:val="22"/>
              </w:rPr>
              <w:t>n</w:t>
            </w:r>
            <w:r w:rsidRPr="007C6A3D">
              <w:rPr>
                <w:sz w:val="22"/>
                <w:szCs w:val="22"/>
              </w:rPr>
              <w:t xml:space="preserve"> additional protection strip of membrane beneath the lighting cable system to prevent wear on the new roof system</w:t>
            </w:r>
            <w:r>
              <w:rPr>
                <w:sz w:val="22"/>
                <w:szCs w:val="22"/>
              </w:rPr>
              <w:t>.</w:t>
            </w:r>
          </w:p>
        </w:tc>
      </w:tr>
      <w:tr w:rsidR="007C6A3D" w:rsidRPr="00570CC2" w:rsidTr="00B572C8">
        <w:tc>
          <w:tcPr>
            <w:tcW w:w="1818" w:type="dxa"/>
          </w:tcPr>
          <w:p w:rsidR="007C6A3D" w:rsidRPr="00570CC2" w:rsidRDefault="007C6A3D" w:rsidP="00AD7B3F">
            <w:pPr>
              <w:tabs>
                <w:tab w:val="left" w:pos="1980"/>
              </w:tabs>
              <w:rPr>
                <w:sz w:val="22"/>
                <w:szCs w:val="22"/>
              </w:rPr>
            </w:pPr>
            <w:r w:rsidRPr="00570CC2">
              <w:rPr>
                <w:sz w:val="22"/>
                <w:szCs w:val="22"/>
              </w:rPr>
              <w:t>Answer No. 1</w:t>
            </w:r>
            <w:r>
              <w:rPr>
                <w:sz w:val="22"/>
                <w:szCs w:val="22"/>
              </w:rPr>
              <w:t>5</w:t>
            </w:r>
          </w:p>
        </w:tc>
        <w:tc>
          <w:tcPr>
            <w:tcW w:w="7038" w:type="dxa"/>
          </w:tcPr>
          <w:p w:rsidR="007C6A3D" w:rsidRPr="007C6A3D" w:rsidRDefault="007C6A3D" w:rsidP="007C6A3D">
            <w:pPr>
              <w:ind w:left="162"/>
              <w:rPr>
                <w:sz w:val="22"/>
                <w:szCs w:val="22"/>
              </w:rPr>
            </w:pPr>
            <w:r>
              <w:rPr>
                <w:sz w:val="22"/>
                <w:szCs w:val="22"/>
              </w:rPr>
              <w:t xml:space="preserve">Contractors </w:t>
            </w:r>
            <w:r w:rsidRPr="007C6A3D">
              <w:rPr>
                <w:sz w:val="22"/>
                <w:szCs w:val="22"/>
              </w:rPr>
              <w:t>should be aware that roofing manufacturers may require additional protection under lightning cable.</w:t>
            </w:r>
          </w:p>
        </w:tc>
      </w:tr>
      <w:tr w:rsidR="007C6A3D" w:rsidRPr="00570CC2" w:rsidTr="00B572C8">
        <w:tc>
          <w:tcPr>
            <w:tcW w:w="1818" w:type="dxa"/>
          </w:tcPr>
          <w:p w:rsidR="007C6A3D" w:rsidRPr="00570CC2" w:rsidRDefault="007C6A3D" w:rsidP="00AD7B3F">
            <w:pPr>
              <w:tabs>
                <w:tab w:val="left" w:pos="1980"/>
              </w:tabs>
              <w:rPr>
                <w:sz w:val="22"/>
                <w:szCs w:val="22"/>
              </w:rPr>
            </w:pPr>
          </w:p>
        </w:tc>
        <w:tc>
          <w:tcPr>
            <w:tcW w:w="7038" w:type="dxa"/>
          </w:tcPr>
          <w:p w:rsidR="007C6A3D" w:rsidRPr="00570CC2" w:rsidRDefault="007C6A3D" w:rsidP="007C5595">
            <w:pPr>
              <w:ind w:left="162"/>
              <w:rPr>
                <w:sz w:val="22"/>
                <w:szCs w:val="22"/>
              </w:rPr>
            </w:pPr>
          </w:p>
        </w:tc>
      </w:tr>
      <w:tr w:rsidR="00B54FEC" w:rsidRPr="00570CC2" w:rsidTr="00B572C8">
        <w:tc>
          <w:tcPr>
            <w:tcW w:w="1818" w:type="dxa"/>
          </w:tcPr>
          <w:p w:rsidR="00B54FEC" w:rsidRPr="00570CC2" w:rsidRDefault="00B54FEC" w:rsidP="007C6A3D">
            <w:pPr>
              <w:tabs>
                <w:tab w:val="left" w:pos="1980"/>
              </w:tabs>
              <w:rPr>
                <w:sz w:val="22"/>
                <w:szCs w:val="22"/>
              </w:rPr>
            </w:pPr>
            <w:r>
              <w:rPr>
                <w:sz w:val="22"/>
                <w:szCs w:val="22"/>
              </w:rPr>
              <w:t>Question No. 1</w:t>
            </w:r>
            <w:r w:rsidR="007C6A3D">
              <w:rPr>
                <w:sz w:val="22"/>
                <w:szCs w:val="22"/>
              </w:rPr>
              <w:t>6</w:t>
            </w:r>
          </w:p>
        </w:tc>
        <w:tc>
          <w:tcPr>
            <w:tcW w:w="7038" w:type="dxa"/>
          </w:tcPr>
          <w:p w:rsidR="00B54FEC" w:rsidRPr="00570CC2" w:rsidRDefault="00B54FEC" w:rsidP="00B54FEC">
            <w:pPr>
              <w:ind w:left="162"/>
              <w:rPr>
                <w:sz w:val="22"/>
                <w:szCs w:val="22"/>
              </w:rPr>
            </w:pPr>
            <w:r>
              <w:rPr>
                <w:sz w:val="22"/>
                <w:szCs w:val="22"/>
              </w:rPr>
              <w:t>Request for the contractors who attended the jobwalks</w:t>
            </w:r>
            <w:r w:rsidR="008E49D6">
              <w:rPr>
                <w:sz w:val="22"/>
                <w:szCs w:val="22"/>
              </w:rPr>
              <w:t>. See below</w:t>
            </w:r>
          </w:p>
        </w:tc>
      </w:tr>
      <w:tr w:rsidR="003D592D" w:rsidRPr="00570CC2" w:rsidTr="00B572C8">
        <w:tc>
          <w:tcPr>
            <w:tcW w:w="1818" w:type="dxa"/>
          </w:tcPr>
          <w:p w:rsidR="003D592D" w:rsidRDefault="003D592D" w:rsidP="00AD7B3F">
            <w:pPr>
              <w:tabs>
                <w:tab w:val="left" w:pos="1980"/>
              </w:tabs>
              <w:rPr>
                <w:sz w:val="22"/>
                <w:szCs w:val="22"/>
              </w:rPr>
            </w:pPr>
          </w:p>
        </w:tc>
        <w:tc>
          <w:tcPr>
            <w:tcW w:w="7038" w:type="dxa"/>
          </w:tcPr>
          <w:p w:rsidR="003D592D" w:rsidRDefault="003D592D" w:rsidP="00B54FEC">
            <w:pPr>
              <w:ind w:left="162"/>
              <w:rPr>
                <w:sz w:val="22"/>
                <w:szCs w:val="22"/>
              </w:rPr>
            </w:pPr>
          </w:p>
        </w:tc>
      </w:tr>
    </w:tbl>
    <w:tbl>
      <w:tblPr>
        <w:tblStyle w:val="TableGrid1"/>
        <w:tblW w:w="8838" w:type="dxa"/>
        <w:tblLook w:val="04A0" w:firstRow="1" w:lastRow="0" w:firstColumn="1" w:lastColumn="0" w:noHBand="0" w:noVBand="1"/>
      </w:tblPr>
      <w:tblGrid>
        <w:gridCol w:w="2847"/>
        <w:gridCol w:w="2242"/>
        <w:gridCol w:w="3749"/>
      </w:tblGrid>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Company</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Contact</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B54FEC" w:rsidP="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Email &amp; Phone</w:t>
            </w: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 xml:space="preserve">Absolute Power </w:t>
            </w:r>
            <w:r w:rsidR="003D592D" w:rsidRPr="00B54FEC">
              <w:rPr>
                <w:rFonts w:ascii="Times New Roman" w:hAnsi="Times New Roman" w:cs="Times New Roman"/>
                <w:sz w:val="22"/>
                <w:szCs w:val="22"/>
              </w:rPr>
              <w:t>Inc.</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Rick Barry</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8B3724" w:rsidP="00B54FEC">
            <w:pPr>
              <w:rPr>
                <w:rFonts w:ascii="Times New Roman" w:eastAsia="Times New Roman" w:hAnsi="Times New Roman" w:cs="Times New Roman"/>
                <w:sz w:val="22"/>
                <w:szCs w:val="22"/>
              </w:rPr>
            </w:pPr>
            <w:hyperlink r:id="rId18" w:history="1">
              <w:r w:rsidR="00B54FEC" w:rsidRPr="00B54FEC">
                <w:rPr>
                  <w:rStyle w:val="Hyperlink"/>
                  <w:rFonts w:ascii="Times New Roman" w:hAnsi="Times New Roman" w:cs="Times New Roman"/>
                  <w:sz w:val="22"/>
                  <w:szCs w:val="22"/>
                </w:rPr>
                <w:t>Absolutepower_inc@live.com</w:t>
              </w:r>
            </w:hyperlink>
          </w:p>
          <w:p w:rsidR="00B54FEC" w:rsidRPr="00B54FEC" w:rsidRDefault="00B54FEC" w:rsidP="00B54FEC">
            <w:pPr>
              <w:rPr>
                <w:rFonts w:ascii="Times New Roman" w:eastAsia="Times New Roman" w:hAnsi="Times New Roman" w:cs="Times New Roman"/>
                <w:sz w:val="22"/>
                <w:szCs w:val="22"/>
              </w:rPr>
            </w:pPr>
            <w:r w:rsidRPr="00B54FEC">
              <w:rPr>
                <w:rFonts w:ascii="Times New Roman" w:hAnsi="Times New Roman" w:cs="Times New Roman"/>
                <w:sz w:val="22"/>
                <w:szCs w:val="22"/>
              </w:rPr>
              <w:t>(509) 586-2555</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All Surface Roofing</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Darrel Kidwell</w:t>
            </w:r>
          </w:p>
        </w:tc>
        <w:tc>
          <w:tcPr>
            <w:tcW w:w="3150" w:type="dxa"/>
            <w:tcBorders>
              <w:top w:val="single" w:sz="4" w:space="0" w:color="auto"/>
              <w:left w:val="single" w:sz="4" w:space="0" w:color="auto"/>
              <w:bottom w:val="single" w:sz="4" w:space="0" w:color="auto"/>
              <w:right w:val="single" w:sz="4" w:space="0" w:color="auto"/>
            </w:tcBorders>
            <w:hideMark/>
          </w:tcPr>
          <w:p w:rsidR="002F617E" w:rsidRPr="00E4285F" w:rsidRDefault="008B3724" w:rsidP="00B54FEC">
            <w:pPr>
              <w:rPr>
                <w:rFonts w:ascii="Times New Roman" w:hAnsi="Times New Roman" w:cs="Times New Roman"/>
                <w:sz w:val="22"/>
                <w:szCs w:val="22"/>
              </w:rPr>
            </w:pPr>
            <w:hyperlink r:id="rId19" w:history="1">
              <w:r w:rsidR="00E4285F" w:rsidRPr="00E4285F">
                <w:rPr>
                  <w:rStyle w:val="Hyperlink"/>
                  <w:rFonts w:ascii="Times New Roman" w:hAnsi="Times New Roman" w:cs="Times New Roman"/>
                  <w:sz w:val="22"/>
                  <w:szCs w:val="22"/>
                </w:rPr>
                <w:t>dkidwell@allsurfaceroofing.com</w:t>
              </w:r>
            </w:hyperlink>
          </w:p>
          <w:p w:rsidR="00B54FEC" w:rsidRPr="00B54FEC" w:rsidRDefault="00B54FEC" w:rsidP="00B54FEC">
            <w:pPr>
              <w:rPr>
                <w:rFonts w:ascii="Times New Roman" w:eastAsia="Times New Roman" w:hAnsi="Times New Roman" w:cs="Times New Roman"/>
                <w:sz w:val="22"/>
                <w:szCs w:val="22"/>
              </w:rPr>
            </w:pPr>
            <w:r w:rsidRPr="00E4285F">
              <w:rPr>
                <w:rFonts w:ascii="Times New Roman" w:hAnsi="Times New Roman" w:cs="Times New Roman"/>
                <w:sz w:val="22"/>
                <w:szCs w:val="22"/>
              </w:rPr>
              <w:t>(509) 279-9248</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 xml:space="preserve">All Valley Sheet Metal </w:t>
            </w:r>
            <w:r w:rsidR="003D592D" w:rsidRPr="00B54FEC">
              <w:rPr>
                <w:rFonts w:ascii="Times New Roman" w:hAnsi="Times New Roman" w:cs="Times New Roman"/>
                <w:sz w:val="22"/>
                <w:szCs w:val="22"/>
              </w:rPr>
              <w:t>Inc.</w:t>
            </w:r>
            <w:r w:rsidRPr="00B54FEC">
              <w:rPr>
                <w:rFonts w:ascii="Times New Roman" w:hAnsi="Times New Roman" w:cs="Times New Roman"/>
                <w:sz w:val="22"/>
                <w:szCs w:val="22"/>
              </w:rPr>
              <w:t xml:space="preserve"> </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Gregory Hayther</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8B3724" w:rsidP="00B54FEC">
            <w:pPr>
              <w:rPr>
                <w:rFonts w:ascii="Times New Roman" w:eastAsia="Times New Roman" w:hAnsi="Times New Roman" w:cs="Times New Roman"/>
                <w:sz w:val="22"/>
                <w:szCs w:val="22"/>
              </w:rPr>
            </w:pPr>
            <w:hyperlink r:id="rId20" w:history="1">
              <w:r w:rsidR="00B54FEC" w:rsidRPr="00B54FEC">
                <w:rPr>
                  <w:rStyle w:val="Hyperlink"/>
                  <w:rFonts w:ascii="Times New Roman" w:hAnsi="Times New Roman" w:cs="Times New Roman"/>
                  <w:sz w:val="22"/>
                  <w:szCs w:val="22"/>
                </w:rPr>
                <w:t>greg@alvalsy.net</w:t>
              </w:r>
            </w:hyperlink>
          </w:p>
          <w:p w:rsidR="00B54FEC" w:rsidRPr="00B54FEC" w:rsidRDefault="00B54FEC" w:rsidP="00B54FEC">
            <w:pPr>
              <w:rPr>
                <w:rFonts w:ascii="Times New Roman" w:eastAsia="Times New Roman" w:hAnsi="Times New Roman" w:cs="Times New Roman"/>
                <w:sz w:val="22"/>
                <w:szCs w:val="22"/>
              </w:rPr>
            </w:pPr>
            <w:r w:rsidRPr="00B54FEC">
              <w:rPr>
                <w:rFonts w:ascii="Times New Roman" w:hAnsi="Times New Roman" w:cs="Times New Roman"/>
                <w:sz w:val="22"/>
                <w:szCs w:val="22"/>
              </w:rPr>
              <w:t>(509) 249-6255</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Ark Commercial Roofing</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Tom Wilson</w:t>
            </w:r>
          </w:p>
        </w:tc>
        <w:tc>
          <w:tcPr>
            <w:tcW w:w="3150" w:type="dxa"/>
            <w:tcBorders>
              <w:top w:val="single" w:sz="4" w:space="0" w:color="auto"/>
              <w:left w:val="single" w:sz="4" w:space="0" w:color="auto"/>
              <w:bottom w:val="single" w:sz="4" w:space="0" w:color="auto"/>
              <w:right w:val="single" w:sz="4" w:space="0" w:color="auto"/>
            </w:tcBorders>
            <w:hideMark/>
          </w:tcPr>
          <w:p w:rsidR="00760A9A" w:rsidRPr="00760A9A" w:rsidRDefault="008B3724" w:rsidP="002F617E">
            <w:pPr>
              <w:rPr>
                <w:rFonts w:ascii="Times New Roman" w:hAnsi="Times New Roman" w:cs="Times New Roman"/>
                <w:sz w:val="22"/>
                <w:szCs w:val="22"/>
              </w:rPr>
            </w:pPr>
            <w:hyperlink r:id="rId21" w:history="1">
              <w:r w:rsidR="00760A9A" w:rsidRPr="00760A9A">
                <w:rPr>
                  <w:rStyle w:val="Hyperlink"/>
                  <w:rFonts w:ascii="Times New Roman" w:hAnsi="Times New Roman" w:cs="Times New Roman"/>
                  <w:sz w:val="22"/>
                  <w:szCs w:val="22"/>
                </w:rPr>
                <w:t>tomwilson@arkcommercialroofing.com</w:t>
              </w:r>
            </w:hyperlink>
          </w:p>
          <w:p w:rsidR="00B54FEC" w:rsidRPr="00B54FEC" w:rsidRDefault="00760A9A" w:rsidP="00760A9A">
            <w:pPr>
              <w:rPr>
                <w:rFonts w:ascii="Times New Roman" w:eastAsia="Times New Roman" w:hAnsi="Times New Roman" w:cs="Times New Roman"/>
                <w:sz w:val="22"/>
                <w:szCs w:val="22"/>
              </w:rPr>
            </w:pPr>
            <w:r w:rsidRPr="00760A9A">
              <w:rPr>
                <w:rFonts w:ascii="Times New Roman" w:hAnsi="Times New Roman" w:cs="Times New Roman"/>
                <w:sz w:val="22"/>
                <w:szCs w:val="22"/>
              </w:rPr>
              <w:t>(509) 443-9300</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Banlin Construction</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Seth McGary</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8B3724" w:rsidP="00B54FEC">
            <w:pPr>
              <w:rPr>
                <w:rFonts w:ascii="Times New Roman" w:eastAsia="Times New Roman" w:hAnsi="Times New Roman" w:cs="Times New Roman"/>
                <w:sz w:val="22"/>
                <w:szCs w:val="22"/>
              </w:rPr>
            </w:pPr>
            <w:hyperlink r:id="rId22" w:history="1">
              <w:r w:rsidR="00B54FEC" w:rsidRPr="00B54FEC">
                <w:rPr>
                  <w:rStyle w:val="Hyperlink"/>
                  <w:rFonts w:ascii="Times New Roman" w:hAnsi="Times New Roman" w:cs="Times New Roman"/>
                  <w:sz w:val="22"/>
                  <w:szCs w:val="22"/>
                </w:rPr>
                <w:t>seth@banlinconstruction.com</w:t>
              </w:r>
            </w:hyperlink>
          </w:p>
          <w:p w:rsidR="00B54FEC" w:rsidRPr="00B54FEC" w:rsidRDefault="00B54FEC" w:rsidP="00B54FEC">
            <w:pPr>
              <w:rPr>
                <w:rFonts w:ascii="Times New Roman" w:eastAsia="Times New Roman" w:hAnsi="Times New Roman" w:cs="Times New Roman"/>
                <w:sz w:val="22"/>
                <w:szCs w:val="22"/>
              </w:rPr>
            </w:pPr>
            <w:r w:rsidRPr="00B54FEC">
              <w:rPr>
                <w:rFonts w:ascii="Times New Roman" w:hAnsi="Times New Roman" w:cs="Times New Roman"/>
                <w:sz w:val="22"/>
                <w:szCs w:val="22"/>
              </w:rPr>
              <w:t>(509) 586-2000</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RMR Construction</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Stacy Smisek</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B54FEC" w:rsidP="00B54FEC">
            <w:pPr>
              <w:rPr>
                <w:rFonts w:ascii="Times New Roman" w:eastAsia="Times New Roman" w:hAnsi="Times New Roman" w:cs="Times New Roman"/>
                <w:sz w:val="22"/>
                <w:szCs w:val="22"/>
              </w:rPr>
            </w:pPr>
            <w:r w:rsidRPr="00B54FEC">
              <w:rPr>
                <w:rFonts w:ascii="Times New Roman" w:hAnsi="Times New Roman" w:cs="Times New Roman"/>
                <w:sz w:val="22"/>
                <w:szCs w:val="22"/>
              </w:rPr>
              <w:t>(208) 882-0775</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Roof Toppers</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Karl Schlecht</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8B3724" w:rsidP="00B54FEC">
            <w:pPr>
              <w:rPr>
                <w:rFonts w:ascii="Times New Roman" w:eastAsia="Times New Roman" w:hAnsi="Times New Roman" w:cs="Times New Roman"/>
                <w:sz w:val="22"/>
                <w:szCs w:val="22"/>
              </w:rPr>
            </w:pPr>
            <w:hyperlink r:id="rId23" w:history="1">
              <w:r w:rsidR="00B54FEC" w:rsidRPr="00B54FEC">
                <w:rPr>
                  <w:rStyle w:val="Hyperlink"/>
                  <w:rFonts w:ascii="Times New Roman" w:hAnsi="Times New Roman" w:cs="Times New Roman"/>
                  <w:sz w:val="22"/>
                  <w:szCs w:val="22"/>
                </w:rPr>
                <w:t>karls@rooftoppers.com</w:t>
              </w:r>
            </w:hyperlink>
          </w:p>
          <w:p w:rsidR="00B54FEC" w:rsidRPr="00B54FEC" w:rsidRDefault="00B54FEC" w:rsidP="00B54FEC">
            <w:pPr>
              <w:rPr>
                <w:rFonts w:ascii="Times New Roman" w:eastAsia="Times New Roman" w:hAnsi="Times New Roman" w:cs="Times New Roman"/>
                <w:sz w:val="22"/>
                <w:szCs w:val="22"/>
              </w:rPr>
            </w:pPr>
            <w:r w:rsidRPr="00B54FEC">
              <w:rPr>
                <w:rFonts w:ascii="Times New Roman" w:hAnsi="Times New Roman" w:cs="Times New Roman"/>
                <w:sz w:val="22"/>
                <w:szCs w:val="22"/>
              </w:rPr>
              <w:t>((306) 772-0403</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 xml:space="preserve">Scholten Roofing </w:t>
            </w:r>
            <w:r w:rsidR="003D592D" w:rsidRPr="00B54FEC">
              <w:rPr>
                <w:rFonts w:ascii="Times New Roman" w:hAnsi="Times New Roman" w:cs="Times New Roman"/>
                <w:sz w:val="22"/>
                <w:szCs w:val="22"/>
              </w:rPr>
              <w:t>Inc.</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Barry Berendsen</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8B3724" w:rsidP="00B54FEC">
            <w:pPr>
              <w:rPr>
                <w:rFonts w:ascii="Times New Roman" w:eastAsia="Times New Roman" w:hAnsi="Times New Roman" w:cs="Times New Roman"/>
                <w:sz w:val="22"/>
                <w:szCs w:val="22"/>
              </w:rPr>
            </w:pPr>
            <w:hyperlink r:id="rId24" w:history="1">
              <w:r w:rsidR="00B54FEC" w:rsidRPr="00B54FEC">
                <w:rPr>
                  <w:rStyle w:val="Hyperlink"/>
                  <w:rFonts w:ascii="Times New Roman" w:hAnsi="Times New Roman" w:cs="Times New Roman"/>
                  <w:sz w:val="22"/>
                  <w:szCs w:val="22"/>
                </w:rPr>
                <w:t>tarbarry@alo.com</w:t>
              </w:r>
            </w:hyperlink>
          </w:p>
          <w:p w:rsidR="00B54FEC" w:rsidRPr="00B54FEC" w:rsidRDefault="00B54FEC" w:rsidP="00B54FEC">
            <w:pPr>
              <w:rPr>
                <w:rFonts w:ascii="Times New Roman" w:eastAsia="Times New Roman" w:hAnsi="Times New Roman" w:cs="Times New Roman"/>
                <w:sz w:val="22"/>
                <w:szCs w:val="22"/>
              </w:rPr>
            </w:pPr>
            <w:r w:rsidRPr="00B54FEC">
              <w:rPr>
                <w:rFonts w:ascii="Times New Roman" w:hAnsi="Times New Roman" w:cs="Times New Roman"/>
                <w:sz w:val="22"/>
                <w:szCs w:val="22"/>
              </w:rPr>
              <w:t>(360) 398-8484</w:t>
            </w:r>
          </w:p>
        </w:tc>
      </w:tr>
      <w:tr w:rsidR="00B54FEC" w:rsidTr="00B54FEC">
        <w:tc>
          <w:tcPr>
            <w:tcW w:w="3192"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2496" w:type="dxa"/>
            <w:tcBorders>
              <w:top w:val="single" w:sz="4" w:space="0" w:color="auto"/>
              <w:left w:val="single" w:sz="4" w:space="0" w:color="auto"/>
              <w:bottom w:val="single" w:sz="4" w:space="0" w:color="auto"/>
              <w:right w:val="single" w:sz="4" w:space="0" w:color="auto"/>
            </w:tcBorders>
          </w:tcPr>
          <w:p w:rsidR="00B54FEC" w:rsidRPr="00B54FEC" w:rsidRDefault="00B54FEC">
            <w:pPr>
              <w:jc w:val="center"/>
              <w:rPr>
                <w:rFonts w:ascii="Times New Roman" w:eastAsia="Times New Roman" w:hAnsi="Times New Roman" w:cs="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B54FEC" w:rsidRPr="00B54FEC" w:rsidRDefault="00B54FEC" w:rsidP="00B54FEC">
            <w:pPr>
              <w:rPr>
                <w:rFonts w:ascii="Times New Roman" w:eastAsia="Times New Roman" w:hAnsi="Times New Roman" w:cs="Times New Roman"/>
                <w:sz w:val="22"/>
                <w:szCs w:val="22"/>
              </w:rPr>
            </w:pPr>
          </w:p>
        </w:tc>
      </w:tr>
      <w:tr w:rsidR="00B54FEC" w:rsidTr="00B54FEC">
        <w:tc>
          <w:tcPr>
            <w:tcW w:w="3192"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M.G. Wagner</w:t>
            </w:r>
          </w:p>
        </w:tc>
        <w:tc>
          <w:tcPr>
            <w:tcW w:w="2496" w:type="dxa"/>
            <w:tcBorders>
              <w:top w:val="single" w:sz="4" w:space="0" w:color="auto"/>
              <w:left w:val="single" w:sz="4" w:space="0" w:color="auto"/>
              <w:bottom w:val="single" w:sz="4" w:space="0" w:color="auto"/>
              <w:right w:val="single" w:sz="4" w:space="0" w:color="auto"/>
            </w:tcBorders>
            <w:hideMark/>
          </w:tcPr>
          <w:p w:rsidR="00B54FEC" w:rsidRPr="00B54FEC" w:rsidRDefault="00B54FEC">
            <w:pPr>
              <w:jc w:val="center"/>
              <w:rPr>
                <w:rFonts w:ascii="Times New Roman" w:eastAsia="Times New Roman" w:hAnsi="Times New Roman" w:cs="Times New Roman"/>
                <w:sz w:val="22"/>
                <w:szCs w:val="22"/>
              </w:rPr>
            </w:pPr>
            <w:r w:rsidRPr="00B54FEC">
              <w:rPr>
                <w:rFonts w:ascii="Times New Roman" w:hAnsi="Times New Roman" w:cs="Times New Roman"/>
                <w:sz w:val="22"/>
                <w:szCs w:val="22"/>
              </w:rPr>
              <w:t>Ric Fernandez</w:t>
            </w:r>
          </w:p>
        </w:tc>
        <w:tc>
          <w:tcPr>
            <w:tcW w:w="3150" w:type="dxa"/>
            <w:tcBorders>
              <w:top w:val="single" w:sz="4" w:space="0" w:color="auto"/>
              <w:left w:val="single" w:sz="4" w:space="0" w:color="auto"/>
              <w:bottom w:val="single" w:sz="4" w:space="0" w:color="auto"/>
              <w:right w:val="single" w:sz="4" w:space="0" w:color="auto"/>
            </w:tcBorders>
            <w:hideMark/>
          </w:tcPr>
          <w:p w:rsidR="00B54FEC" w:rsidRPr="00B54FEC" w:rsidRDefault="008B3724" w:rsidP="00B54FEC">
            <w:pPr>
              <w:rPr>
                <w:rFonts w:ascii="Times New Roman" w:eastAsia="Times New Roman" w:hAnsi="Times New Roman" w:cs="Times New Roman"/>
                <w:sz w:val="22"/>
                <w:szCs w:val="22"/>
              </w:rPr>
            </w:pPr>
            <w:hyperlink r:id="rId25" w:history="1">
              <w:r w:rsidR="00B54FEC" w:rsidRPr="00B54FEC">
                <w:rPr>
                  <w:rStyle w:val="Hyperlink"/>
                  <w:rFonts w:ascii="Times New Roman" w:hAnsi="Times New Roman" w:cs="Times New Roman"/>
                  <w:sz w:val="22"/>
                  <w:szCs w:val="22"/>
                </w:rPr>
                <w:t>ric@mgwagnerroofing.com</w:t>
              </w:r>
            </w:hyperlink>
          </w:p>
          <w:p w:rsidR="00B54FEC" w:rsidRPr="00B54FEC" w:rsidRDefault="00B54FEC" w:rsidP="00B54FEC">
            <w:pPr>
              <w:rPr>
                <w:rFonts w:ascii="Times New Roman" w:eastAsia="Times New Roman" w:hAnsi="Times New Roman" w:cs="Times New Roman"/>
                <w:sz w:val="22"/>
                <w:szCs w:val="22"/>
              </w:rPr>
            </w:pPr>
            <w:r w:rsidRPr="00B54FEC">
              <w:rPr>
                <w:rFonts w:ascii="Times New Roman" w:hAnsi="Times New Roman" w:cs="Times New Roman"/>
                <w:sz w:val="22"/>
                <w:szCs w:val="22"/>
              </w:rPr>
              <w:t>(509) 578-0934</w:t>
            </w:r>
          </w:p>
        </w:tc>
      </w:tr>
    </w:tbl>
    <w:p w:rsidR="000A7C86" w:rsidRPr="00570CC2" w:rsidRDefault="000A7C86">
      <w:pPr>
        <w:rPr>
          <w:sz w:val="22"/>
          <w:szCs w:val="22"/>
        </w:rPr>
      </w:pPr>
    </w:p>
    <w:sectPr w:rsidR="000A7C86" w:rsidRPr="00570CC2">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DE" w:rsidRDefault="00350DDE" w:rsidP="00350DDE">
      <w:r>
        <w:separator/>
      </w:r>
    </w:p>
  </w:endnote>
  <w:endnote w:type="continuationSeparator" w:id="0">
    <w:p w:rsidR="00350DDE" w:rsidRDefault="00350DDE" w:rsidP="0035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DE" w:rsidRPr="00350DDE" w:rsidRDefault="006A54CC" w:rsidP="006A54CC">
    <w:pPr>
      <w:pStyle w:val="Footer"/>
      <w:jc w:val="right"/>
      <w:rPr>
        <w:b/>
        <w:color w:val="008000"/>
        <w:sz w:val="28"/>
        <w:szCs w:val="28"/>
      </w:rPr>
    </w:pPr>
    <w:r>
      <w:rPr>
        <w:b/>
        <w:color w:val="008000"/>
        <w:sz w:val="28"/>
        <w:szCs w:val="28"/>
      </w:rPr>
      <w:t>LIGO L130012</w:t>
    </w:r>
    <w:r w:rsidR="00570CC2">
      <w:rPr>
        <w:b/>
        <w:color w:val="008000"/>
        <w:sz w:val="28"/>
        <w:szCs w:val="28"/>
      </w:rPr>
      <w:t>9</w:t>
    </w:r>
    <w:r>
      <w:rPr>
        <w:b/>
        <w:color w:val="008000"/>
        <w:sz w:val="28"/>
        <w:szCs w:val="2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DE" w:rsidRDefault="00350DDE" w:rsidP="00350DDE">
      <w:r>
        <w:separator/>
      </w:r>
    </w:p>
  </w:footnote>
  <w:footnote w:type="continuationSeparator" w:id="0">
    <w:p w:rsidR="00350DDE" w:rsidRDefault="00350DDE" w:rsidP="00350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6678B"/>
    <w:multiLevelType w:val="hybridMultilevel"/>
    <w:tmpl w:val="06A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7D"/>
    <w:rsid w:val="0000760A"/>
    <w:rsid w:val="000154A2"/>
    <w:rsid w:val="000249FC"/>
    <w:rsid w:val="000525AD"/>
    <w:rsid w:val="00053659"/>
    <w:rsid w:val="000A7C86"/>
    <w:rsid w:val="001039DF"/>
    <w:rsid w:val="00105FC5"/>
    <w:rsid w:val="001132D5"/>
    <w:rsid w:val="00173F42"/>
    <w:rsid w:val="001940B0"/>
    <w:rsid w:val="001E0A15"/>
    <w:rsid w:val="002629A6"/>
    <w:rsid w:val="002B7362"/>
    <w:rsid w:val="002F617E"/>
    <w:rsid w:val="00347C54"/>
    <w:rsid w:val="00350DDE"/>
    <w:rsid w:val="003819DF"/>
    <w:rsid w:val="00390784"/>
    <w:rsid w:val="003A074B"/>
    <w:rsid w:val="003A4DC7"/>
    <w:rsid w:val="003D592D"/>
    <w:rsid w:val="003D7124"/>
    <w:rsid w:val="00415AE4"/>
    <w:rsid w:val="004651C5"/>
    <w:rsid w:val="004D4F0E"/>
    <w:rsid w:val="00565597"/>
    <w:rsid w:val="00570CC2"/>
    <w:rsid w:val="005961DD"/>
    <w:rsid w:val="00615C15"/>
    <w:rsid w:val="0066588F"/>
    <w:rsid w:val="006A54CC"/>
    <w:rsid w:val="006B5E07"/>
    <w:rsid w:val="006E21E7"/>
    <w:rsid w:val="007422C9"/>
    <w:rsid w:val="00760A9A"/>
    <w:rsid w:val="007B14B5"/>
    <w:rsid w:val="007C5595"/>
    <w:rsid w:val="007C6A3D"/>
    <w:rsid w:val="007E35BB"/>
    <w:rsid w:val="007F79A6"/>
    <w:rsid w:val="008748FD"/>
    <w:rsid w:val="008B3724"/>
    <w:rsid w:val="008E49D6"/>
    <w:rsid w:val="008E5698"/>
    <w:rsid w:val="008F7ED0"/>
    <w:rsid w:val="0091213D"/>
    <w:rsid w:val="00922534"/>
    <w:rsid w:val="009459A5"/>
    <w:rsid w:val="00957A48"/>
    <w:rsid w:val="009847DF"/>
    <w:rsid w:val="009962B7"/>
    <w:rsid w:val="00997D6E"/>
    <w:rsid w:val="009A29E9"/>
    <w:rsid w:val="009E457E"/>
    <w:rsid w:val="00A16871"/>
    <w:rsid w:val="00A20520"/>
    <w:rsid w:val="00A314DB"/>
    <w:rsid w:val="00A32C76"/>
    <w:rsid w:val="00A61FC8"/>
    <w:rsid w:val="00AA1C96"/>
    <w:rsid w:val="00AB329B"/>
    <w:rsid w:val="00AD7B3F"/>
    <w:rsid w:val="00B54FEC"/>
    <w:rsid w:val="00BB6A76"/>
    <w:rsid w:val="00C15BB6"/>
    <w:rsid w:val="00C52966"/>
    <w:rsid w:val="00D12AEE"/>
    <w:rsid w:val="00D76527"/>
    <w:rsid w:val="00DA0FEA"/>
    <w:rsid w:val="00DC1F7D"/>
    <w:rsid w:val="00DC462E"/>
    <w:rsid w:val="00DF0E9A"/>
    <w:rsid w:val="00DF2BC6"/>
    <w:rsid w:val="00E4285F"/>
    <w:rsid w:val="00EC054F"/>
    <w:rsid w:val="00F11729"/>
    <w:rsid w:val="00FF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76"/>
    <w:rPr>
      <w:color w:val="0000FF" w:themeColor="hyperlink"/>
      <w:u w:val="single"/>
    </w:rPr>
  </w:style>
  <w:style w:type="character" w:styleId="FollowedHyperlink">
    <w:name w:val="FollowedHyperlink"/>
    <w:basedOn w:val="DefaultParagraphFont"/>
    <w:uiPriority w:val="99"/>
    <w:semiHidden/>
    <w:unhideWhenUsed/>
    <w:rsid w:val="00BB6A76"/>
    <w:rPr>
      <w:color w:val="800080" w:themeColor="followedHyperlink"/>
      <w:u w:val="single"/>
    </w:rPr>
  </w:style>
  <w:style w:type="paragraph" w:styleId="Header">
    <w:name w:val="header"/>
    <w:basedOn w:val="Normal"/>
    <w:link w:val="HeaderChar"/>
    <w:uiPriority w:val="99"/>
    <w:unhideWhenUsed/>
    <w:rsid w:val="00350DDE"/>
    <w:pPr>
      <w:tabs>
        <w:tab w:val="center" w:pos="4680"/>
        <w:tab w:val="right" w:pos="9360"/>
      </w:tabs>
    </w:pPr>
  </w:style>
  <w:style w:type="character" w:customStyle="1" w:styleId="HeaderChar">
    <w:name w:val="Header Char"/>
    <w:basedOn w:val="DefaultParagraphFont"/>
    <w:link w:val="Header"/>
    <w:uiPriority w:val="99"/>
    <w:rsid w:val="00350DDE"/>
    <w:rPr>
      <w:sz w:val="24"/>
      <w:szCs w:val="24"/>
    </w:rPr>
  </w:style>
  <w:style w:type="paragraph" w:styleId="Footer">
    <w:name w:val="footer"/>
    <w:basedOn w:val="Normal"/>
    <w:link w:val="FooterChar"/>
    <w:uiPriority w:val="99"/>
    <w:unhideWhenUsed/>
    <w:rsid w:val="00350DDE"/>
    <w:pPr>
      <w:tabs>
        <w:tab w:val="center" w:pos="4680"/>
        <w:tab w:val="right" w:pos="9360"/>
      </w:tabs>
    </w:pPr>
  </w:style>
  <w:style w:type="character" w:customStyle="1" w:styleId="FooterChar">
    <w:name w:val="Footer Char"/>
    <w:basedOn w:val="DefaultParagraphFont"/>
    <w:link w:val="Footer"/>
    <w:uiPriority w:val="99"/>
    <w:rsid w:val="00350DDE"/>
    <w:rPr>
      <w:sz w:val="24"/>
      <w:szCs w:val="24"/>
    </w:rPr>
  </w:style>
  <w:style w:type="paragraph" w:styleId="ListParagraph">
    <w:name w:val="List Paragraph"/>
    <w:basedOn w:val="Normal"/>
    <w:uiPriority w:val="34"/>
    <w:qFormat/>
    <w:rsid w:val="00053659"/>
    <w:pPr>
      <w:ind w:left="720"/>
      <w:contextualSpacing/>
    </w:pPr>
  </w:style>
  <w:style w:type="table" w:styleId="TableGrid">
    <w:name w:val="Table Grid"/>
    <w:basedOn w:val="TableNormal"/>
    <w:uiPriority w:val="59"/>
    <w:rsid w:val="0098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2966"/>
    <w:rPr>
      <w:sz w:val="16"/>
      <w:szCs w:val="16"/>
    </w:rPr>
  </w:style>
  <w:style w:type="paragraph" w:styleId="CommentText">
    <w:name w:val="annotation text"/>
    <w:basedOn w:val="Normal"/>
    <w:link w:val="CommentTextChar"/>
    <w:uiPriority w:val="99"/>
    <w:semiHidden/>
    <w:unhideWhenUsed/>
    <w:rsid w:val="00C52966"/>
    <w:rPr>
      <w:sz w:val="20"/>
      <w:szCs w:val="20"/>
    </w:rPr>
  </w:style>
  <w:style w:type="character" w:customStyle="1" w:styleId="CommentTextChar">
    <w:name w:val="Comment Text Char"/>
    <w:basedOn w:val="DefaultParagraphFont"/>
    <w:link w:val="CommentText"/>
    <w:uiPriority w:val="99"/>
    <w:semiHidden/>
    <w:rsid w:val="00C52966"/>
  </w:style>
  <w:style w:type="paragraph" w:styleId="CommentSubject">
    <w:name w:val="annotation subject"/>
    <w:basedOn w:val="CommentText"/>
    <w:next w:val="CommentText"/>
    <w:link w:val="CommentSubjectChar"/>
    <w:uiPriority w:val="99"/>
    <w:semiHidden/>
    <w:unhideWhenUsed/>
    <w:rsid w:val="00C52966"/>
    <w:rPr>
      <w:b/>
      <w:bCs/>
    </w:rPr>
  </w:style>
  <w:style w:type="character" w:customStyle="1" w:styleId="CommentSubjectChar">
    <w:name w:val="Comment Subject Char"/>
    <w:basedOn w:val="CommentTextChar"/>
    <w:link w:val="CommentSubject"/>
    <w:uiPriority w:val="99"/>
    <w:semiHidden/>
    <w:rsid w:val="00C52966"/>
    <w:rPr>
      <w:b/>
      <w:bCs/>
    </w:rPr>
  </w:style>
  <w:style w:type="paragraph" w:styleId="BalloonText">
    <w:name w:val="Balloon Text"/>
    <w:basedOn w:val="Normal"/>
    <w:link w:val="BalloonTextChar"/>
    <w:uiPriority w:val="99"/>
    <w:semiHidden/>
    <w:unhideWhenUsed/>
    <w:rsid w:val="00C52966"/>
    <w:rPr>
      <w:rFonts w:ascii="Tahoma" w:hAnsi="Tahoma" w:cs="Tahoma"/>
      <w:sz w:val="16"/>
      <w:szCs w:val="16"/>
    </w:rPr>
  </w:style>
  <w:style w:type="character" w:customStyle="1" w:styleId="BalloonTextChar">
    <w:name w:val="Balloon Text Char"/>
    <w:basedOn w:val="DefaultParagraphFont"/>
    <w:link w:val="BalloonText"/>
    <w:uiPriority w:val="99"/>
    <w:semiHidden/>
    <w:rsid w:val="00C52966"/>
    <w:rPr>
      <w:rFonts w:ascii="Tahoma" w:hAnsi="Tahoma" w:cs="Tahoma"/>
      <w:sz w:val="16"/>
      <w:szCs w:val="16"/>
    </w:rPr>
  </w:style>
  <w:style w:type="table" w:customStyle="1" w:styleId="TableGrid1">
    <w:name w:val="Table Grid1"/>
    <w:basedOn w:val="TableNormal"/>
    <w:next w:val="TableGrid"/>
    <w:uiPriority w:val="59"/>
    <w:rsid w:val="00B54F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4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76"/>
    <w:rPr>
      <w:color w:val="0000FF" w:themeColor="hyperlink"/>
      <w:u w:val="single"/>
    </w:rPr>
  </w:style>
  <w:style w:type="character" w:styleId="FollowedHyperlink">
    <w:name w:val="FollowedHyperlink"/>
    <w:basedOn w:val="DefaultParagraphFont"/>
    <w:uiPriority w:val="99"/>
    <w:semiHidden/>
    <w:unhideWhenUsed/>
    <w:rsid w:val="00BB6A76"/>
    <w:rPr>
      <w:color w:val="800080" w:themeColor="followedHyperlink"/>
      <w:u w:val="single"/>
    </w:rPr>
  </w:style>
  <w:style w:type="paragraph" w:styleId="Header">
    <w:name w:val="header"/>
    <w:basedOn w:val="Normal"/>
    <w:link w:val="HeaderChar"/>
    <w:uiPriority w:val="99"/>
    <w:unhideWhenUsed/>
    <w:rsid w:val="00350DDE"/>
    <w:pPr>
      <w:tabs>
        <w:tab w:val="center" w:pos="4680"/>
        <w:tab w:val="right" w:pos="9360"/>
      </w:tabs>
    </w:pPr>
  </w:style>
  <w:style w:type="character" w:customStyle="1" w:styleId="HeaderChar">
    <w:name w:val="Header Char"/>
    <w:basedOn w:val="DefaultParagraphFont"/>
    <w:link w:val="Header"/>
    <w:uiPriority w:val="99"/>
    <w:rsid w:val="00350DDE"/>
    <w:rPr>
      <w:sz w:val="24"/>
      <w:szCs w:val="24"/>
    </w:rPr>
  </w:style>
  <w:style w:type="paragraph" w:styleId="Footer">
    <w:name w:val="footer"/>
    <w:basedOn w:val="Normal"/>
    <w:link w:val="FooterChar"/>
    <w:uiPriority w:val="99"/>
    <w:unhideWhenUsed/>
    <w:rsid w:val="00350DDE"/>
    <w:pPr>
      <w:tabs>
        <w:tab w:val="center" w:pos="4680"/>
        <w:tab w:val="right" w:pos="9360"/>
      </w:tabs>
    </w:pPr>
  </w:style>
  <w:style w:type="character" w:customStyle="1" w:styleId="FooterChar">
    <w:name w:val="Footer Char"/>
    <w:basedOn w:val="DefaultParagraphFont"/>
    <w:link w:val="Footer"/>
    <w:uiPriority w:val="99"/>
    <w:rsid w:val="00350DDE"/>
    <w:rPr>
      <w:sz w:val="24"/>
      <w:szCs w:val="24"/>
    </w:rPr>
  </w:style>
  <w:style w:type="paragraph" w:styleId="ListParagraph">
    <w:name w:val="List Paragraph"/>
    <w:basedOn w:val="Normal"/>
    <w:uiPriority w:val="34"/>
    <w:qFormat/>
    <w:rsid w:val="00053659"/>
    <w:pPr>
      <w:ind w:left="720"/>
      <w:contextualSpacing/>
    </w:pPr>
  </w:style>
  <w:style w:type="table" w:styleId="TableGrid">
    <w:name w:val="Table Grid"/>
    <w:basedOn w:val="TableNormal"/>
    <w:uiPriority w:val="59"/>
    <w:rsid w:val="0098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2966"/>
    <w:rPr>
      <w:sz w:val="16"/>
      <w:szCs w:val="16"/>
    </w:rPr>
  </w:style>
  <w:style w:type="paragraph" w:styleId="CommentText">
    <w:name w:val="annotation text"/>
    <w:basedOn w:val="Normal"/>
    <w:link w:val="CommentTextChar"/>
    <w:uiPriority w:val="99"/>
    <w:semiHidden/>
    <w:unhideWhenUsed/>
    <w:rsid w:val="00C52966"/>
    <w:rPr>
      <w:sz w:val="20"/>
      <w:szCs w:val="20"/>
    </w:rPr>
  </w:style>
  <w:style w:type="character" w:customStyle="1" w:styleId="CommentTextChar">
    <w:name w:val="Comment Text Char"/>
    <w:basedOn w:val="DefaultParagraphFont"/>
    <w:link w:val="CommentText"/>
    <w:uiPriority w:val="99"/>
    <w:semiHidden/>
    <w:rsid w:val="00C52966"/>
  </w:style>
  <w:style w:type="paragraph" w:styleId="CommentSubject">
    <w:name w:val="annotation subject"/>
    <w:basedOn w:val="CommentText"/>
    <w:next w:val="CommentText"/>
    <w:link w:val="CommentSubjectChar"/>
    <w:uiPriority w:val="99"/>
    <w:semiHidden/>
    <w:unhideWhenUsed/>
    <w:rsid w:val="00C52966"/>
    <w:rPr>
      <w:b/>
      <w:bCs/>
    </w:rPr>
  </w:style>
  <w:style w:type="character" w:customStyle="1" w:styleId="CommentSubjectChar">
    <w:name w:val="Comment Subject Char"/>
    <w:basedOn w:val="CommentTextChar"/>
    <w:link w:val="CommentSubject"/>
    <w:uiPriority w:val="99"/>
    <w:semiHidden/>
    <w:rsid w:val="00C52966"/>
    <w:rPr>
      <w:b/>
      <w:bCs/>
    </w:rPr>
  </w:style>
  <w:style w:type="paragraph" w:styleId="BalloonText">
    <w:name w:val="Balloon Text"/>
    <w:basedOn w:val="Normal"/>
    <w:link w:val="BalloonTextChar"/>
    <w:uiPriority w:val="99"/>
    <w:semiHidden/>
    <w:unhideWhenUsed/>
    <w:rsid w:val="00C52966"/>
    <w:rPr>
      <w:rFonts w:ascii="Tahoma" w:hAnsi="Tahoma" w:cs="Tahoma"/>
      <w:sz w:val="16"/>
      <w:szCs w:val="16"/>
    </w:rPr>
  </w:style>
  <w:style w:type="character" w:customStyle="1" w:styleId="BalloonTextChar">
    <w:name w:val="Balloon Text Char"/>
    <w:basedOn w:val="DefaultParagraphFont"/>
    <w:link w:val="BalloonText"/>
    <w:uiPriority w:val="99"/>
    <w:semiHidden/>
    <w:rsid w:val="00C52966"/>
    <w:rPr>
      <w:rFonts w:ascii="Tahoma" w:hAnsi="Tahoma" w:cs="Tahoma"/>
      <w:sz w:val="16"/>
      <w:szCs w:val="16"/>
    </w:rPr>
  </w:style>
  <w:style w:type="table" w:customStyle="1" w:styleId="TableGrid1">
    <w:name w:val="Table Grid1"/>
    <w:basedOn w:val="TableNormal"/>
    <w:next w:val="TableGrid"/>
    <w:uiPriority w:val="59"/>
    <w:rsid w:val="00B54F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4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71671">
      <w:bodyDiv w:val="1"/>
      <w:marLeft w:val="0"/>
      <w:marRight w:val="0"/>
      <w:marTop w:val="0"/>
      <w:marBottom w:val="0"/>
      <w:divBdr>
        <w:top w:val="none" w:sz="0" w:space="0" w:color="auto"/>
        <w:left w:val="none" w:sz="0" w:space="0" w:color="auto"/>
        <w:bottom w:val="none" w:sz="0" w:space="0" w:color="auto"/>
        <w:right w:val="none" w:sz="0" w:space="0" w:color="auto"/>
      </w:divBdr>
    </w:div>
    <w:div w:id="1183665555">
      <w:bodyDiv w:val="1"/>
      <w:marLeft w:val="0"/>
      <w:marRight w:val="0"/>
      <w:marTop w:val="0"/>
      <w:marBottom w:val="0"/>
      <w:divBdr>
        <w:top w:val="none" w:sz="0" w:space="0" w:color="auto"/>
        <w:left w:val="none" w:sz="0" w:space="0" w:color="auto"/>
        <w:bottom w:val="none" w:sz="0" w:space="0" w:color="auto"/>
        <w:right w:val="none" w:sz="0" w:space="0" w:color="auto"/>
      </w:divBdr>
    </w:div>
    <w:div w:id="12174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rden_j@ligo-wa.caltech.edu" TargetMode="External"/><Relationship Id="rId18" Type="http://schemas.openxmlformats.org/officeDocument/2006/relationships/hyperlink" Target="mailto:Absolutepower_inc@liv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omwilson@arkcommercialroofing.com" TargetMode="External"/><Relationship Id="rId7" Type="http://schemas.openxmlformats.org/officeDocument/2006/relationships/footnotes" Target="footnotes.xml"/><Relationship Id="rId12" Type="http://schemas.openxmlformats.org/officeDocument/2006/relationships/hyperlink" Target="mailto:jasnow@ligo.caltech.edu" TargetMode="External"/><Relationship Id="rId17" Type="http://schemas.openxmlformats.org/officeDocument/2006/relationships/hyperlink" Target="https://dcc.ligo.org/public/0021/C1001971/001/C1001971-v1%20Central%20WA%20Building%20Construction%20Trades%20Council%20Memo%20of%20Understanding.pdf" TargetMode="External"/><Relationship Id="rId25" Type="http://schemas.openxmlformats.org/officeDocument/2006/relationships/hyperlink" Target="mailto:ric@mgwagnerroofing.com" TargetMode="External"/><Relationship Id="rId2" Type="http://schemas.openxmlformats.org/officeDocument/2006/relationships/numbering" Target="numbering.xml"/><Relationship Id="rId16" Type="http://schemas.openxmlformats.org/officeDocument/2006/relationships/hyperlink" Target="mailto:worden_j@ligo-wa.caltech.edu" TargetMode="External"/><Relationship Id="rId20" Type="http://schemas.openxmlformats.org/officeDocument/2006/relationships/hyperlink" Target="mailto:greg@alvalsy.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rvizu@ligo.caltech.edu" TargetMode="External"/><Relationship Id="rId24" Type="http://schemas.openxmlformats.org/officeDocument/2006/relationships/hyperlink" Target="mailto:tarbarry@alo.com" TargetMode="External"/><Relationship Id="rId5" Type="http://schemas.openxmlformats.org/officeDocument/2006/relationships/settings" Target="settings.xml"/><Relationship Id="rId15" Type="http://schemas.openxmlformats.org/officeDocument/2006/relationships/hyperlink" Target="mailto:rarvizu@ligo.caltech.edu" TargetMode="External"/><Relationship Id="rId23" Type="http://schemas.openxmlformats.org/officeDocument/2006/relationships/hyperlink" Target="mailto:karls@rooftoppers.com" TargetMode="External"/><Relationship Id="rId28" Type="http://schemas.openxmlformats.org/officeDocument/2006/relationships/theme" Target="theme/theme1.xml"/><Relationship Id="rId10" Type="http://schemas.openxmlformats.org/officeDocument/2006/relationships/hyperlink" Target="mailto:rarvizu@ligo.caltech.edu" TargetMode="External"/><Relationship Id="rId19" Type="http://schemas.openxmlformats.org/officeDocument/2006/relationships/hyperlink" Target="mailto:dkidwell@allsurfaceroofing.com" TargetMode="External"/><Relationship Id="rId4" Type="http://schemas.microsoft.com/office/2007/relationships/stylesWithEffects" Target="stylesWithEffects.xml"/><Relationship Id="rId9" Type="http://schemas.openxmlformats.org/officeDocument/2006/relationships/hyperlink" Target="https://dcc.ligo.org/public/0103/C1301598/002/Invitation%20to%20Bid%20for%20the%20LIGO%20Handford%20Re-roof_C1301598-v2.pdf" TargetMode="External"/><Relationship Id="rId14" Type="http://schemas.openxmlformats.org/officeDocument/2006/relationships/hyperlink" Target="mailto:rarvizu@ligo.caltech.edu" TargetMode="External"/><Relationship Id="rId22" Type="http://schemas.openxmlformats.org/officeDocument/2006/relationships/hyperlink" Target="mailto:seth@banlinconstructio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CC10-65BC-46B0-A369-038548DB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951</Words>
  <Characters>6419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LASER INTERFEROMETER GRAVITATIONAL-WAVE OBSERVATORY (LIGO) FACILITY RE-ROOFING PROJECT, FY 2013</vt:lpstr>
    </vt:vector>
  </TitlesOfParts>
  <Company>Rwbready Project Services</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GRAVITATIONAL-WAVE OBSERVATORY (LIGO) FACILITY RE-ROOFING PROJECT, FY 2013</dc:title>
  <dc:creator>Robert W Bready</dc:creator>
  <cp:lastModifiedBy>Rudy Arvizu</cp:lastModifiedBy>
  <cp:revision>4</cp:revision>
  <cp:lastPrinted>2013-05-31T16:32:00Z</cp:lastPrinted>
  <dcterms:created xsi:type="dcterms:W3CDTF">2013-05-31T21:22:00Z</dcterms:created>
  <dcterms:modified xsi:type="dcterms:W3CDTF">2013-05-31T21:43:00Z</dcterms:modified>
</cp:coreProperties>
</file>