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ACCC2" w14:textId="77777777" w:rsidR="00FB1B59" w:rsidRDefault="00FB1B59">
      <w:pPr>
        <w:pStyle w:val="PlainText"/>
        <w:jc w:val="center"/>
        <w:rPr>
          <w:i/>
          <w:sz w:val="36"/>
        </w:rPr>
      </w:pPr>
    </w:p>
    <w:p w14:paraId="784E1F8A" w14:textId="77777777" w:rsidR="00FB1B59" w:rsidRDefault="00FB1B59">
      <w:pPr>
        <w:pStyle w:val="PlainText"/>
        <w:jc w:val="center"/>
        <w:rPr>
          <w:i/>
          <w:sz w:val="36"/>
        </w:rPr>
      </w:pPr>
      <w:r>
        <w:rPr>
          <w:i/>
          <w:sz w:val="36"/>
        </w:rPr>
        <w:t>LIGO Laboratory / LIGO Scientific Collaboration</w:t>
      </w:r>
    </w:p>
    <w:p w14:paraId="681CF514" w14:textId="77777777" w:rsidR="00FB1B59" w:rsidRDefault="00FB1B59">
      <w:pPr>
        <w:pStyle w:val="PlainText"/>
        <w:jc w:val="center"/>
        <w:rPr>
          <w:sz w:val="36"/>
        </w:rPr>
      </w:pPr>
    </w:p>
    <w:p w14:paraId="39F2FB86" w14:textId="77777777" w:rsidR="00FB1B59" w:rsidRDefault="00FB1B59">
      <w:pPr>
        <w:pStyle w:val="PlainText"/>
        <w:jc w:val="left"/>
        <w:rPr>
          <w:sz w:val="36"/>
        </w:rPr>
      </w:pPr>
    </w:p>
    <w:p w14:paraId="39A815CD" w14:textId="34EDF657" w:rsidR="00FB1B59" w:rsidRDefault="00921521"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9E2D54" w:rsidRPr="009E2D54">
        <w:t>T1300174</w:t>
      </w:r>
      <w:r>
        <w:t>-v</w:t>
      </w:r>
      <w:r w:rsidR="000B4F14">
        <w:t>2</w:t>
      </w:r>
      <w:r w:rsidR="00FB1B59">
        <w:tab/>
      </w:r>
      <w:r w:rsidR="005F5030" w:rsidRPr="005F5030">
        <w:rPr>
          <w:sz w:val="28"/>
          <w:szCs w:val="28"/>
        </w:rPr>
        <w:t xml:space="preserve">advanced </w:t>
      </w:r>
      <w:r w:rsidR="00FB1B59" w:rsidRPr="005F5030">
        <w:rPr>
          <w:i/>
          <w:iCs/>
          <w:sz w:val="28"/>
          <w:szCs w:val="28"/>
        </w:rPr>
        <w:t>LIGO</w:t>
      </w:r>
      <w:r w:rsidR="00FB1B59">
        <w:tab/>
      </w:r>
      <w:r w:rsidR="006A71B0">
        <w:t xml:space="preserve">March </w:t>
      </w:r>
      <w:r w:rsidR="000B4F14">
        <w:t>2</w:t>
      </w:r>
      <w:bookmarkStart w:id="0" w:name="_GoBack"/>
      <w:bookmarkEnd w:id="0"/>
      <w:r w:rsidR="003E2119">
        <w:t>5</w:t>
      </w:r>
      <w:r w:rsidR="005F5030">
        <w:t>, 2013</w:t>
      </w:r>
    </w:p>
    <w:p w14:paraId="00593650" w14:textId="77777777" w:rsidR="00FB1B59" w:rsidRDefault="000B4F14">
      <w:pPr>
        <w:pBdr>
          <w:top w:val="threeDEmboss" w:sz="24" w:space="1" w:color="auto"/>
          <w:left w:val="threeDEmboss" w:sz="24" w:space="4" w:color="auto"/>
          <w:bottom w:val="threeDEmboss" w:sz="24" w:space="1" w:color="auto"/>
          <w:right w:val="threeDEmboss" w:sz="24" w:space="4" w:color="auto"/>
        </w:pBdr>
      </w:pPr>
      <w:r>
        <w:pict w14:anchorId="53D932C7">
          <v:rect id="_x0000_i1025" style="width:0;height:1.5pt" o:hralign="center" o:hrstd="t" o:hr="t" fillcolor="gray" stroked="f">
            <v:imagedata r:id="rId9" o:title=""/>
          </v:rect>
        </w:pict>
      </w:r>
    </w:p>
    <w:p w14:paraId="7985508F" w14:textId="77777777" w:rsidR="00FB1B59" w:rsidRDefault="00081695">
      <w:pPr>
        <w:pStyle w:val="BodyText"/>
        <w:pBdr>
          <w:top w:val="threeDEmboss" w:sz="24" w:space="1" w:color="auto"/>
          <w:left w:val="threeDEmboss" w:sz="24" w:space="4" w:color="auto"/>
          <w:bottom w:val="threeDEmboss" w:sz="24" w:space="1" w:color="auto"/>
          <w:right w:val="threeDEmboss" w:sz="24" w:space="4" w:color="auto"/>
        </w:pBdr>
      </w:pPr>
      <w:r>
        <w:t>Commissioning</w:t>
      </w:r>
      <w:r w:rsidR="00FB1B59">
        <w:t xml:space="preserve"> Advanced LIGO’s </w:t>
      </w:r>
      <w:r w:rsidR="00433DC1">
        <w:t>HIFO-Y</w:t>
      </w:r>
    </w:p>
    <w:p w14:paraId="0A707251" w14:textId="77777777" w:rsidR="00FB1B59" w:rsidRDefault="000B4F14">
      <w:pPr>
        <w:pBdr>
          <w:top w:val="threeDEmboss" w:sz="24" w:space="1" w:color="auto"/>
          <w:left w:val="threeDEmboss" w:sz="24" w:space="4" w:color="auto"/>
          <w:bottom w:val="threeDEmboss" w:sz="24" w:space="1" w:color="auto"/>
          <w:right w:val="threeDEmboss" w:sz="24" w:space="4" w:color="auto"/>
        </w:pBdr>
      </w:pPr>
      <w:r>
        <w:pict w14:anchorId="4E7DE39E">
          <v:rect id="_x0000_i1026" style="width:0;height:1.5pt" o:hralign="center" o:hrstd="t" o:hr="t" fillcolor="gray" stroked="f">
            <v:imagedata r:id="rId10" o:title=""/>
          </v:rect>
        </w:pict>
      </w:r>
    </w:p>
    <w:p w14:paraId="16DE52BD" w14:textId="77777777" w:rsidR="00FB1B59" w:rsidRDefault="00341E5E" w:rsidP="00A27CCE">
      <w:pPr>
        <w:pBdr>
          <w:top w:val="threeDEmboss" w:sz="24" w:space="1" w:color="auto"/>
          <w:left w:val="threeDEmboss" w:sz="24" w:space="4" w:color="auto"/>
          <w:bottom w:val="threeDEmboss" w:sz="24" w:space="1" w:color="auto"/>
          <w:right w:val="threeDEmboss" w:sz="24" w:space="4" w:color="auto"/>
        </w:pBdr>
        <w:spacing w:before="0" w:after="120"/>
        <w:jc w:val="center"/>
      </w:pPr>
      <w:r>
        <w:t>D</w:t>
      </w:r>
      <w:r w:rsidR="005C3F57">
        <w:t>.</w:t>
      </w:r>
      <w:r>
        <w:t xml:space="preserve"> </w:t>
      </w:r>
      <w:proofErr w:type="spellStart"/>
      <w:r>
        <w:t>Sigg</w:t>
      </w:r>
      <w:proofErr w:type="spellEnd"/>
      <w:r>
        <w:t xml:space="preserve">, </w:t>
      </w:r>
      <w:r w:rsidR="00AA11D2">
        <w:t xml:space="preserve">K. </w:t>
      </w:r>
      <w:proofErr w:type="spellStart"/>
      <w:r w:rsidR="00AA11D2">
        <w:t>Kawabe</w:t>
      </w:r>
      <w:proofErr w:type="spellEnd"/>
      <w:r w:rsidR="003C37C3">
        <w:t>, P</w:t>
      </w:r>
      <w:r w:rsidR="005C3F57">
        <w:t>.</w:t>
      </w:r>
      <w:r w:rsidR="003C37C3">
        <w:t xml:space="preserve"> Fritschel</w:t>
      </w:r>
    </w:p>
    <w:p w14:paraId="6A18D0CF" w14:textId="77777777" w:rsidR="00FB1B59" w:rsidRDefault="00FB1B59">
      <w:pPr>
        <w:pStyle w:val="PlainText"/>
        <w:spacing w:before="0"/>
        <w:jc w:val="center"/>
      </w:pPr>
    </w:p>
    <w:p w14:paraId="550F7F39" w14:textId="77777777" w:rsidR="00FB1B59" w:rsidRDefault="00FB1B59">
      <w:pPr>
        <w:pStyle w:val="PlainText"/>
        <w:spacing w:before="0"/>
        <w:jc w:val="center"/>
      </w:pPr>
      <w:r>
        <w:t>Distribution of this document:</w:t>
      </w:r>
    </w:p>
    <w:p w14:paraId="4E90885F" w14:textId="77777777" w:rsidR="00FB1B59" w:rsidRDefault="00FB1B59">
      <w:pPr>
        <w:pStyle w:val="PlainText"/>
        <w:spacing w:before="0"/>
        <w:jc w:val="center"/>
      </w:pPr>
      <w:r>
        <w:t>LIGO Scientific Collaboration</w:t>
      </w:r>
    </w:p>
    <w:p w14:paraId="19CC761C" w14:textId="77777777" w:rsidR="00FB1B59" w:rsidRDefault="00FB1B59">
      <w:pPr>
        <w:pStyle w:val="PlainText"/>
        <w:spacing w:before="0"/>
        <w:jc w:val="center"/>
      </w:pPr>
    </w:p>
    <w:p w14:paraId="53DBE298" w14:textId="77777777" w:rsidR="00FB1B59" w:rsidRDefault="00FB1B59">
      <w:pPr>
        <w:pStyle w:val="PlainText"/>
        <w:spacing w:before="0"/>
        <w:jc w:val="center"/>
      </w:pPr>
      <w:r>
        <w:t>This is an internal working note</w:t>
      </w:r>
    </w:p>
    <w:p w14:paraId="3590B391" w14:textId="77777777" w:rsidR="00FB1B59" w:rsidRDefault="00FB1B59">
      <w:pPr>
        <w:pStyle w:val="PlainText"/>
        <w:spacing w:before="0"/>
        <w:jc w:val="center"/>
      </w:pPr>
      <w:proofErr w:type="gramStart"/>
      <w:r>
        <w:t>of</w:t>
      </w:r>
      <w:proofErr w:type="gramEnd"/>
      <w:r>
        <w:t xml:space="preserve"> the LIGO Laboratory.</w:t>
      </w:r>
    </w:p>
    <w:p w14:paraId="0B458D0F" w14:textId="77777777" w:rsidR="00FB1B59" w:rsidRDefault="00FB1B59">
      <w:pPr>
        <w:pStyle w:val="PlainText"/>
        <w:spacing w:before="0"/>
        <w:jc w:val="left"/>
      </w:pPr>
    </w:p>
    <w:tbl>
      <w:tblPr>
        <w:tblW w:w="0" w:type="auto"/>
        <w:tblLook w:val="0000" w:firstRow="0" w:lastRow="0" w:firstColumn="0" w:lastColumn="0" w:noHBand="0" w:noVBand="0"/>
      </w:tblPr>
      <w:tblGrid>
        <w:gridCol w:w="4903"/>
        <w:gridCol w:w="4903"/>
      </w:tblGrid>
      <w:tr w:rsidR="00FB1B59" w14:paraId="7D51D2FA" w14:textId="77777777">
        <w:tc>
          <w:tcPr>
            <w:tcW w:w="4909" w:type="dxa"/>
          </w:tcPr>
          <w:p w14:paraId="06412197" w14:textId="77777777" w:rsidR="00FB1B59" w:rsidRDefault="00FB1B59">
            <w:pPr>
              <w:pStyle w:val="PlainText"/>
              <w:spacing w:before="0"/>
              <w:jc w:val="center"/>
              <w:rPr>
                <w:b/>
                <w:bCs/>
                <w:color w:val="808080"/>
              </w:rPr>
            </w:pPr>
            <w:r>
              <w:rPr>
                <w:b/>
                <w:bCs/>
                <w:color w:val="808080"/>
              </w:rPr>
              <w:t>California Institute of Technology</w:t>
            </w:r>
          </w:p>
          <w:p w14:paraId="0BB2469F" w14:textId="77777777" w:rsidR="00FB1B59" w:rsidRDefault="00FB1B59">
            <w:pPr>
              <w:pStyle w:val="PlainText"/>
              <w:spacing w:before="0"/>
              <w:jc w:val="center"/>
              <w:rPr>
                <w:b/>
                <w:bCs/>
                <w:color w:val="808080"/>
              </w:rPr>
            </w:pPr>
            <w:r>
              <w:rPr>
                <w:b/>
                <w:bCs/>
                <w:color w:val="808080"/>
              </w:rPr>
              <w:t>LIGO Project – MS 18-34</w:t>
            </w:r>
          </w:p>
          <w:p w14:paraId="514BEE0B" w14:textId="77777777" w:rsidR="00FB1B59" w:rsidRPr="005F48B2" w:rsidRDefault="00FB1B59">
            <w:pPr>
              <w:pStyle w:val="PlainText"/>
              <w:spacing w:before="0"/>
              <w:jc w:val="center"/>
              <w:rPr>
                <w:b/>
                <w:bCs/>
                <w:color w:val="808080"/>
                <w:lang w:val="it-IT"/>
              </w:rPr>
            </w:pPr>
            <w:r w:rsidRPr="005F48B2">
              <w:rPr>
                <w:b/>
                <w:bCs/>
                <w:color w:val="808080"/>
                <w:lang w:val="it-IT"/>
              </w:rPr>
              <w:t xml:space="preserve">1200 </w:t>
            </w:r>
            <w:proofErr w:type="gramStart"/>
            <w:r w:rsidRPr="005F48B2">
              <w:rPr>
                <w:b/>
                <w:bCs/>
                <w:color w:val="808080"/>
                <w:lang w:val="it-IT"/>
              </w:rPr>
              <w:t>E.</w:t>
            </w:r>
            <w:proofErr w:type="gramEnd"/>
            <w:r w:rsidRPr="005F48B2">
              <w:rPr>
                <w:b/>
                <w:bCs/>
                <w:color w:val="808080"/>
                <w:lang w:val="it-IT"/>
              </w:rPr>
              <w:t xml:space="preserve"> California </w:t>
            </w:r>
            <w:proofErr w:type="spellStart"/>
            <w:r w:rsidRPr="005F48B2">
              <w:rPr>
                <w:b/>
                <w:bCs/>
                <w:color w:val="808080"/>
                <w:lang w:val="it-IT"/>
              </w:rPr>
              <w:t>Blvd</w:t>
            </w:r>
            <w:proofErr w:type="spellEnd"/>
            <w:r w:rsidRPr="005F48B2">
              <w:rPr>
                <w:b/>
                <w:bCs/>
                <w:color w:val="808080"/>
                <w:lang w:val="it-IT"/>
              </w:rPr>
              <w:t>.</w:t>
            </w:r>
          </w:p>
          <w:p w14:paraId="68F8033F" w14:textId="77777777" w:rsidR="00FB1B59" w:rsidRPr="005F48B2" w:rsidRDefault="00FB1B59">
            <w:pPr>
              <w:pStyle w:val="PlainText"/>
              <w:spacing w:before="0"/>
              <w:jc w:val="center"/>
              <w:rPr>
                <w:b/>
                <w:bCs/>
                <w:color w:val="808080"/>
                <w:lang w:val="it-IT"/>
              </w:rPr>
            </w:pPr>
            <w:r w:rsidRPr="005F48B2">
              <w:rPr>
                <w:b/>
                <w:bCs/>
                <w:color w:val="808080"/>
                <w:lang w:val="it-IT"/>
              </w:rPr>
              <w:t>Pasadena, CA 91125</w:t>
            </w:r>
          </w:p>
          <w:p w14:paraId="0DA16D45" w14:textId="77777777" w:rsidR="00FB1B59" w:rsidRPr="00A16CA3" w:rsidRDefault="00FB1B59">
            <w:pPr>
              <w:pStyle w:val="PlainText"/>
              <w:spacing w:before="0"/>
              <w:jc w:val="center"/>
              <w:rPr>
                <w:color w:val="808080"/>
              </w:rPr>
            </w:pPr>
            <w:r w:rsidRPr="00A16CA3">
              <w:rPr>
                <w:color w:val="808080"/>
              </w:rPr>
              <w:t>Phone (626) 395-2129</w:t>
            </w:r>
          </w:p>
          <w:p w14:paraId="04E99A54" w14:textId="77777777" w:rsidR="00FB1B59" w:rsidRPr="00A16CA3" w:rsidRDefault="00FB1B59">
            <w:pPr>
              <w:pStyle w:val="PlainText"/>
              <w:spacing w:before="0"/>
              <w:jc w:val="center"/>
              <w:rPr>
                <w:color w:val="808080"/>
              </w:rPr>
            </w:pPr>
            <w:r w:rsidRPr="00A16CA3">
              <w:rPr>
                <w:color w:val="808080"/>
              </w:rPr>
              <w:t>Fax (626) 304-9834</w:t>
            </w:r>
          </w:p>
          <w:p w14:paraId="10D24D14" w14:textId="77777777" w:rsidR="00FB1B59" w:rsidRPr="00A16CA3" w:rsidRDefault="00FB1B59">
            <w:pPr>
              <w:pStyle w:val="PlainText"/>
              <w:spacing w:before="0"/>
              <w:jc w:val="center"/>
              <w:rPr>
                <w:color w:val="808080"/>
              </w:rPr>
            </w:pPr>
            <w:r w:rsidRPr="00A16CA3">
              <w:rPr>
                <w:color w:val="808080"/>
              </w:rPr>
              <w:t>E-mail: info@ligo.caltech.edu</w:t>
            </w:r>
          </w:p>
        </w:tc>
        <w:tc>
          <w:tcPr>
            <w:tcW w:w="4909" w:type="dxa"/>
          </w:tcPr>
          <w:p w14:paraId="6EE3B375" w14:textId="77777777" w:rsidR="00FB1B59" w:rsidRDefault="00FB1B59">
            <w:pPr>
              <w:pStyle w:val="PlainText"/>
              <w:spacing w:before="0"/>
              <w:jc w:val="center"/>
              <w:rPr>
                <w:b/>
                <w:bCs/>
                <w:color w:val="808080"/>
              </w:rPr>
            </w:pPr>
            <w:r>
              <w:rPr>
                <w:b/>
                <w:bCs/>
                <w:color w:val="808080"/>
              </w:rPr>
              <w:t>Massachusetts Institute of Technology</w:t>
            </w:r>
          </w:p>
          <w:p w14:paraId="30687C60" w14:textId="77777777" w:rsidR="00FB1B59" w:rsidRDefault="00FB1B59">
            <w:pPr>
              <w:pStyle w:val="PlainText"/>
              <w:spacing w:before="0"/>
              <w:jc w:val="center"/>
              <w:rPr>
                <w:b/>
                <w:bCs/>
                <w:color w:val="808080"/>
              </w:rPr>
            </w:pPr>
            <w:r>
              <w:rPr>
                <w:b/>
                <w:bCs/>
                <w:color w:val="808080"/>
              </w:rPr>
              <w:t>LIGO Project – NW22-295</w:t>
            </w:r>
          </w:p>
          <w:p w14:paraId="337845DE" w14:textId="77777777" w:rsidR="00FB1B59" w:rsidRDefault="00FB1B59">
            <w:pPr>
              <w:pStyle w:val="PlainText"/>
              <w:spacing w:before="0"/>
              <w:jc w:val="center"/>
              <w:rPr>
                <w:b/>
                <w:bCs/>
                <w:color w:val="808080"/>
              </w:rPr>
            </w:pPr>
            <w:r>
              <w:rPr>
                <w:b/>
                <w:bCs/>
                <w:color w:val="808080"/>
              </w:rPr>
              <w:t>185 Albany St</w:t>
            </w:r>
          </w:p>
          <w:p w14:paraId="281D2B12" w14:textId="77777777" w:rsidR="00FB1B59" w:rsidRDefault="00FB1B59">
            <w:pPr>
              <w:pStyle w:val="PlainText"/>
              <w:spacing w:before="0"/>
              <w:jc w:val="center"/>
              <w:rPr>
                <w:b/>
                <w:bCs/>
                <w:color w:val="808080"/>
              </w:rPr>
            </w:pPr>
            <w:r>
              <w:rPr>
                <w:b/>
                <w:bCs/>
                <w:color w:val="808080"/>
              </w:rPr>
              <w:t>Cambridge, MA 02139</w:t>
            </w:r>
          </w:p>
          <w:p w14:paraId="020A07B7" w14:textId="77777777" w:rsidR="00FB1B59" w:rsidRDefault="00FB1B59">
            <w:pPr>
              <w:pStyle w:val="PlainText"/>
              <w:spacing w:before="0"/>
              <w:jc w:val="center"/>
              <w:rPr>
                <w:color w:val="808080"/>
              </w:rPr>
            </w:pPr>
            <w:r>
              <w:rPr>
                <w:color w:val="808080"/>
              </w:rPr>
              <w:t>Phone (617) 253-4824</w:t>
            </w:r>
          </w:p>
          <w:p w14:paraId="55D6B778" w14:textId="77777777" w:rsidR="00FB1B59" w:rsidRDefault="00FB1B59">
            <w:pPr>
              <w:pStyle w:val="PlainText"/>
              <w:spacing w:before="0"/>
              <w:jc w:val="center"/>
              <w:rPr>
                <w:color w:val="808080"/>
              </w:rPr>
            </w:pPr>
            <w:r>
              <w:rPr>
                <w:color w:val="808080"/>
              </w:rPr>
              <w:t>Fax (617) 253-7014</w:t>
            </w:r>
          </w:p>
          <w:p w14:paraId="29495515" w14:textId="77777777" w:rsidR="00FB1B59" w:rsidRDefault="00FB1B59">
            <w:pPr>
              <w:pStyle w:val="PlainText"/>
              <w:spacing w:before="0"/>
              <w:jc w:val="center"/>
              <w:rPr>
                <w:color w:val="808080"/>
              </w:rPr>
            </w:pPr>
            <w:r>
              <w:rPr>
                <w:color w:val="808080"/>
              </w:rPr>
              <w:t>E-mail: info@ligo.mit.edu</w:t>
            </w:r>
          </w:p>
        </w:tc>
      </w:tr>
      <w:tr w:rsidR="00FB1B59" w14:paraId="78D48207" w14:textId="77777777">
        <w:tc>
          <w:tcPr>
            <w:tcW w:w="4909" w:type="dxa"/>
          </w:tcPr>
          <w:p w14:paraId="4717C48B" w14:textId="77777777" w:rsidR="00FB1B59" w:rsidRDefault="00FB1B59">
            <w:pPr>
              <w:pStyle w:val="PlainText"/>
              <w:spacing w:before="0"/>
              <w:jc w:val="center"/>
              <w:rPr>
                <w:b/>
                <w:bCs/>
                <w:color w:val="808080"/>
              </w:rPr>
            </w:pPr>
          </w:p>
          <w:p w14:paraId="75DBEEEC" w14:textId="77777777" w:rsidR="00FB1B59" w:rsidRDefault="00FB1B59">
            <w:pPr>
              <w:pStyle w:val="PlainText"/>
              <w:spacing w:before="0"/>
              <w:jc w:val="center"/>
              <w:rPr>
                <w:b/>
                <w:bCs/>
                <w:color w:val="808080"/>
              </w:rPr>
            </w:pPr>
            <w:r>
              <w:rPr>
                <w:b/>
                <w:bCs/>
                <w:color w:val="808080"/>
              </w:rPr>
              <w:t>LIGO Hanford Observatory</w:t>
            </w:r>
          </w:p>
          <w:p w14:paraId="1169B931" w14:textId="77777777" w:rsidR="00FB1B59" w:rsidRDefault="00FB1B59" w:rsidP="00FB3DAE">
            <w:pPr>
              <w:pStyle w:val="PlainText"/>
              <w:spacing w:before="0"/>
              <w:jc w:val="center"/>
              <w:rPr>
                <w:b/>
                <w:bCs/>
                <w:color w:val="808080"/>
              </w:rPr>
            </w:pPr>
            <w:r>
              <w:rPr>
                <w:b/>
                <w:bCs/>
                <w:color w:val="808080"/>
              </w:rPr>
              <w:t>P.O. Box 159</w:t>
            </w:r>
          </w:p>
          <w:p w14:paraId="1FF23E2E" w14:textId="77777777" w:rsidR="00FB1B59" w:rsidRDefault="00FB1B59">
            <w:pPr>
              <w:pStyle w:val="PlainText"/>
              <w:spacing w:before="0"/>
              <w:jc w:val="center"/>
              <w:rPr>
                <w:b/>
                <w:bCs/>
                <w:color w:val="808080"/>
              </w:rPr>
            </w:pPr>
            <w:r>
              <w:rPr>
                <w:b/>
                <w:bCs/>
                <w:color w:val="808080"/>
              </w:rPr>
              <w:t>Richland WA 99352</w:t>
            </w:r>
          </w:p>
          <w:p w14:paraId="2B483916" w14:textId="77777777" w:rsidR="00FB1B59" w:rsidRDefault="00FB1B59">
            <w:pPr>
              <w:pStyle w:val="PlainText"/>
              <w:spacing w:before="0"/>
              <w:jc w:val="center"/>
              <w:rPr>
                <w:color w:val="808080"/>
              </w:rPr>
            </w:pPr>
            <w:r>
              <w:rPr>
                <w:color w:val="808080"/>
              </w:rPr>
              <w:t>Phone 509-372-8106</w:t>
            </w:r>
          </w:p>
          <w:p w14:paraId="0CC2DAAF" w14:textId="77777777" w:rsidR="00FB1B59" w:rsidRDefault="00FB1B59">
            <w:pPr>
              <w:pStyle w:val="PlainText"/>
              <w:spacing w:before="0"/>
              <w:jc w:val="center"/>
              <w:rPr>
                <w:b/>
                <w:bCs/>
                <w:color w:val="808080"/>
              </w:rPr>
            </w:pPr>
            <w:r>
              <w:rPr>
                <w:color w:val="808080"/>
              </w:rPr>
              <w:t>Fax 509-372-8137</w:t>
            </w:r>
          </w:p>
        </w:tc>
        <w:tc>
          <w:tcPr>
            <w:tcW w:w="4909" w:type="dxa"/>
          </w:tcPr>
          <w:p w14:paraId="2A4C2F50" w14:textId="77777777" w:rsidR="00FB1B59" w:rsidRDefault="00FB1B59">
            <w:pPr>
              <w:pStyle w:val="PlainText"/>
              <w:spacing w:before="0"/>
              <w:jc w:val="center"/>
              <w:rPr>
                <w:b/>
                <w:bCs/>
                <w:color w:val="808080"/>
              </w:rPr>
            </w:pPr>
          </w:p>
          <w:p w14:paraId="47BFCB55" w14:textId="77777777" w:rsidR="00FB1B59" w:rsidRDefault="00FB1B59">
            <w:pPr>
              <w:pStyle w:val="PlainText"/>
              <w:spacing w:before="0"/>
              <w:jc w:val="center"/>
              <w:rPr>
                <w:b/>
                <w:bCs/>
                <w:color w:val="808080"/>
              </w:rPr>
            </w:pPr>
            <w:r>
              <w:rPr>
                <w:b/>
                <w:bCs/>
                <w:color w:val="808080"/>
              </w:rPr>
              <w:t>LIGO Livingston Observatory</w:t>
            </w:r>
          </w:p>
          <w:p w14:paraId="23E8495B" w14:textId="77777777" w:rsidR="00FB1B59" w:rsidRDefault="00FB1B59">
            <w:pPr>
              <w:pStyle w:val="PlainText"/>
              <w:spacing w:before="0"/>
              <w:jc w:val="center"/>
              <w:rPr>
                <w:b/>
                <w:bCs/>
                <w:color w:val="808080"/>
              </w:rPr>
            </w:pPr>
            <w:r>
              <w:rPr>
                <w:b/>
                <w:bCs/>
                <w:color w:val="808080"/>
              </w:rPr>
              <w:t>P.O. Box 940</w:t>
            </w:r>
          </w:p>
          <w:p w14:paraId="2152FADB" w14:textId="77777777" w:rsidR="00FB1B59" w:rsidRDefault="00FB1B59">
            <w:pPr>
              <w:pStyle w:val="PlainText"/>
              <w:spacing w:before="0"/>
              <w:jc w:val="center"/>
              <w:rPr>
                <w:b/>
                <w:bCs/>
                <w:color w:val="808080"/>
              </w:rPr>
            </w:pPr>
            <w:r>
              <w:rPr>
                <w:b/>
                <w:bCs/>
                <w:color w:val="808080"/>
              </w:rPr>
              <w:t>Livingston, LA  70754</w:t>
            </w:r>
          </w:p>
          <w:p w14:paraId="076E7263" w14:textId="77777777" w:rsidR="00FB1B59" w:rsidRDefault="00FB1B59">
            <w:pPr>
              <w:pStyle w:val="PlainText"/>
              <w:spacing w:before="0"/>
              <w:jc w:val="center"/>
              <w:rPr>
                <w:color w:val="808080"/>
              </w:rPr>
            </w:pPr>
            <w:r>
              <w:rPr>
                <w:color w:val="808080"/>
              </w:rPr>
              <w:t>Phone 225-686-3100</w:t>
            </w:r>
          </w:p>
          <w:p w14:paraId="3326F6BD" w14:textId="77777777" w:rsidR="00FB1B59" w:rsidRDefault="00FB1B59">
            <w:pPr>
              <w:pStyle w:val="PlainText"/>
              <w:spacing w:before="0"/>
              <w:jc w:val="center"/>
              <w:rPr>
                <w:b/>
                <w:bCs/>
                <w:color w:val="808080"/>
              </w:rPr>
            </w:pPr>
            <w:r>
              <w:rPr>
                <w:color w:val="808080"/>
              </w:rPr>
              <w:t>Fax 225-686-7189</w:t>
            </w:r>
          </w:p>
        </w:tc>
      </w:tr>
    </w:tbl>
    <w:p w14:paraId="0B8D50CA" w14:textId="77777777" w:rsidR="00FB1B59" w:rsidRDefault="00FB1B59">
      <w:pPr>
        <w:pStyle w:val="PlainText"/>
        <w:jc w:val="center"/>
      </w:pPr>
      <w:r>
        <w:t>http://www.ligo.caltech.edu/</w:t>
      </w:r>
    </w:p>
    <w:p w14:paraId="47610DCE" w14:textId="77777777" w:rsidR="00FB1B59" w:rsidRDefault="00FB1B59" w:rsidP="009614E2">
      <w:pPr>
        <w:pStyle w:val="Heading1"/>
      </w:pPr>
      <w:r>
        <w:br w:type="page"/>
      </w:r>
      <w:r>
        <w:lastRenderedPageBreak/>
        <w:t>Introduction</w:t>
      </w:r>
    </w:p>
    <w:p w14:paraId="715B690E" w14:textId="77777777" w:rsidR="00FB1B59" w:rsidRDefault="00252528">
      <w:r>
        <w:t>The third major commissioning phase at the LIGO Hanford Observatory is the integration of a single arm cavity with the ALS system in the corner. This is a logical step after first commissioning a single arm cavity by injecting a green laser from the end stations</w:t>
      </w:r>
      <w:r w:rsidR="002B692C">
        <w:t xml:space="preserve">, see </w:t>
      </w:r>
      <w:hyperlink r:id="rId11" w:history="1">
        <w:r w:rsidR="00EB2257" w:rsidRPr="00EB2257">
          <w:rPr>
            <w:rStyle w:val="Hyperlink"/>
          </w:rPr>
          <w:t>T1100080</w:t>
        </w:r>
      </w:hyperlink>
      <w:r>
        <w:t xml:space="preserve">, and after secondly commissioning the PSL and input mode cleaner. Integration testing </w:t>
      </w:r>
      <w:r w:rsidR="005414F7">
        <w:t>of HIFO-Y (half interferometer Y-arm) is scheduled to start in April 2013.</w:t>
      </w:r>
      <w:r w:rsidR="005414F7" w:rsidRPr="005414F7">
        <w:t xml:space="preserve"> </w:t>
      </w:r>
      <w:r w:rsidR="005414F7">
        <w:t>This document describes the ingredients, testing plans, and goals of this testing phase.</w:t>
      </w:r>
    </w:p>
    <w:p w14:paraId="5ADA3A64" w14:textId="77777777" w:rsidR="00FB1B59" w:rsidRDefault="00FB1B59" w:rsidP="009614E2">
      <w:pPr>
        <w:pStyle w:val="Heading1"/>
      </w:pPr>
      <w:r>
        <w:t>Motivation &amp; Context</w:t>
      </w:r>
    </w:p>
    <w:p w14:paraId="00FEF55C" w14:textId="77777777" w:rsidR="00AF46B0" w:rsidRDefault="00FB1B59">
      <w:r>
        <w:t xml:space="preserve">An interferometer must acquire lock reliably and robustly before serious strain sensitivity investigations can begin. The Advanced LIGO lock acquisition strategy is significantly different than in initial LIGO, and it was designed to improve upon the reliability and robustness of the earlier scheme. This acquisition strategy is described in </w:t>
      </w:r>
      <w:hyperlink r:id="rId12" w:history="1">
        <w:r w:rsidRPr="001E202C">
          <w:rPr>
            <w:rStyle w:val="Hyperlink"/>
          </w:rPr>
          <w:t>T1000294</w:t>
        </w:r>
      </w:hyperlink>
      <w:r>
        <w:t xml:space="preserve">, </w:t>
      </w:r>
      <w:r>
        <w:rPr>
          <w:i/>
        </w:rPr>
        <w:t>Lock acquisition study for Advanced LIGO.</w:t>
      </w:r>
      <w:r w:rsidR="00123503">
        <w:rPr>
          <w:i/>
        </w:rPr>
        <w:t xml:space="preserve"> </w:t>
      </w:r>
      <w:r>
        <w:t xml:space="preserve">A new feature that is a significant part of this strategy is the Arm Length Stabilization (ALS) system, which is described in </w:t>
      </w:r>
      <w:hyperlink r:id="rId13" w:history="1">
        <w:r w:rsidRPr="00D47828">
          <w:rPr>
            <w:rStyle w:val="Hyperlink"/>
          </w:rPr>
          <w:t>T0900144</w:t>
        </w:r>
      </w:hyperlink>
      <w:r>
        <w:t xml:space="preserve">. The ALS is designed to provide independent control of each arm cavity length. Given that it is a new system in Advanced LIGO and that it is critical to achieving full lock, it is highly desirable to implement and test the ALS as early as possible. </w:t>
      </w:r>
      <w:r w:rsidR="00AF46B0">
        <w:t xml:space="preserve">The ALS commissioning has been split into three phases: H2OAT (completed), HIFO-Y (current phase), and HIFO-X (next phase). </w:t>
      </w:r>
    </w:p>
    <w:p w14:paraId="50177488" w14:textId="77777777" w:rsidR="00FB1B59" w:rsidRDefault="00FB1B59" w:rsidP="00281911">
      <w:r>
        <w:t xml:space="preserve">There are two main objectives of the </w:t>
      </w:r>
      <w:r w:rsidR="008F5E4E">
        <w:t>HIFO-Y</w:t>
      </w:r>
      <w:r>
        <w:t xml:space="preserve"> integration phase:</w:t>
      </w:r>
    </w:p>
    <w:p w14:paraId="2EDE6265" w14:textId="77777777" w:rsidR="00FB1B59" w:rsidRDefault="00FB1B59" w:rsidP="00264C36">
      <w:pPr>
        <w:pStyle w:val="ListParagraph"/>
        <w:numPr>
          <w:ilvl w:val="0"/>
          <w:numId w:val="29"/>
        </w:numPr>
      </w:pPr>
      <w:r>
        <w:t xml:space="preserve">Attaining and verifying the performance of the ALS </w:t>
      </w:r>
      <w:r w:rsidR="00FF4B74">
        <w:t xml:space="preserve">corner recombination using a single </w:t>
      </w:r>
      <w:r>
        <w:t xml:space="preserve">arm cavity, at the level required </w:t>
      </w:r>
      <w:proofErr w:type="gramStart"/>
      <w:r>
        <w:t>to support</w:t>
      </w:r>
      <w:proofErr w:type="gramEnd"/>
      <w:r>
        <w:t xml:space="preserve"> full interferometer lock acquisition.</w:t>
      </w:r>
    </w:p>
    <w:p w14:paraId="24718B98" w14:textId="77777777" w:rsidR="00FB1B59" w:rsidRDefault="00327BBF" w:rsidP="00281911">
      <w:pPr>
        <w:pStyle w:val="ListParagraph"/>
        <w:numPr>
          <w:ilvl w:val="0"/>
          <w:numId w:val="29"/>
        </w:numPr>
      </w:pPr>
      <w:r>
        <w:t>Achieve full automation of the process</w:t>
      </w:r>
      <w:r w:rsidR="00FB1B59">
        <w:t>.</w:t>
      </w:r>
    </w:p>
    <w:p w14:paraId="330503F6" w14:textId="77777777" w:rsidR="00FB1B59" w:rsidRDefault="00FB1B59">
      <w:r>
        <w:t xml:space="preserve">These, and other secondary objectives, are discussed later in Section </w:t>
      </w:r>
      <w:r w:rsidR="000A2507">
        <w:fldChar w:fldCharType="begin"/>
      </w:r>
      <w:r w:rsidR="000A2507">
        <w:instrText xml:space="preserve"> REF _Ref158710027 \r \h </w:instrText>
      </w:r>
      <w:r w:rsidR="000A2507">
        <w:fldChar w:fldCharType="separate"/>
      </w:r>
      <w:r>
        <w:t>4</w:t>
      </w:r>
      <w:r w:rsidR="000A2507">
        <w:fldChar w:fldCharType="end"/>
      </w:r>
      <w:r>
        <w:t>.</w:t>
      </w:r>
    </w:p>
    <w:p w14:paraId="6275C19E" w14:textId="77777777" w:rsidR="00FB1B59" w:rsidRDefault="00FB1B59" w:rsidP="009614E2">
      <w:pPr>
        <w:pStyle w:val="Heading1"/>
      </w:pPr>
      <w:r>
        <w:t>Components of the arm cavity integration phase</w:t>
      </w:r>
    </w:p>
    <w:p w14:paraId="5A91AEA7" w14:textId="6AB36EDB" w:rsidR="00BC16F1" w:rsidRDefault="00BC16F1" w:rsidP="00BC16F1">
      <w:r>
        <w:t xml:space="preserve">The HIFO-Y integration phase uses the same H2 end station equipment installed for OAT. In the corner we are using H1 hardware including an ITMY isolation </w:t>
      </w:r>
      <w:proofErr w:type="gramStart"/>
      <w:r>
        <w:t>system which</w:t>
      </w:r>
      <w:proofErr w:type="gramEnd"/>
      <w:r>
        <w:t xml:space="preserve"> has been moved from H2 to H1. The other equipment in the corner station required for this phase </w:t>
      </w:r>
      <w:r w:rsidR="00264C36">
        <w:t xml:space="preserve">is: </w:t>
      </w:r>
    </w:p>
    <w:p w14:paraId="21E617DC" w14:textId="00B0C9A3" w:rsidR="00BC16F1" w:rsidRDefault="009918AB" w:rsidP="00BC16F1">
      <w:pPr>
        <w:pStyle w:val="ListParagraph"/>
        <w:numPr>
          <w:ilvl w:val="0"/>
          <w:numId w:val="36"/>
        </w:numPr>
      </w:pPr>
      <w:r>
        <w:t>T</w:t>
      </w:r>
      <w:r w:rsidR="00BC16F1">
        <w:t xml:space="preserve">he PSL </w:t>
      </w:r>
    </w:p>
    <w:p w14:paraId="132E0893" w14:textId="19343248" w:rsidR="00BC16F1" w:rsidRDefault="009918AB" w:rsidP="00BC16F1">
      <w:pPr>
        <w:pStyle w:val="ListParagraph"/>
        <w:numPr>
          <w:ilvl w:val="0"/>
          <w:numId w:val="36"/>
        </w:numPr>
      </w:pPr>
      <w:r>
        <w:t>T</w:t>
      </w:r>
      <w:r w:rsidR="00BC16F1">
        <w:t xml:space="preserve">he input mode cleaner </w:t>
      </w:r>
    </w:p>
    <w:p w14:paraId="680BA4F9" w14:textId="11DE5AFC" w:rsidR="00BC16F1" w:rsidRDefault="009918AB" w:rsidP="00BC16F1">
      <w:pPr>
        <w:pStyle w:val="ListParagraph"/>
        <w:numPr>
          <w:ilvl w:val="0"/>
          <w:numId w:val="36"/>
        </w:numPr>
      </w:pPr>
      <w:r>
        <w:t>T</w:t>
      </w:r>
      <w:r w:rsidR="00BC16F1">
        <w:t xml:space="preserve">he suspended beam path from the input mode cleaner to the ITMY, </w:t>
      </w:r>
      <w:r>
        <w:t xml:space="preserve">including the </w:t>
      </w:r>
      <w:r w:rsidR="00264C36">
        <w:t xml:space="preserve">3 power recycling mirrors </w:t>
      </w:r>
      <w:r>
        <w:t>and the BS,</w:t>
      </w:r>
      <w:r w:rsidR="002A1BD7">
        <w:t xml:space="preserve"> </w:t>
      </w:r>
      <w:r w:rsidR="00264C36">
        <w:t xml:space="preserve">and the associated </w:t>
      </w:r>
      <w:r w:rsidR="002A1BD7">
        <w:t>optical levers</w:t>
      </w:r>
    </w:p>
    <w:p w14:paraId="21C4DFCB" w14:textId="5017DC96" w:rsidR="00BC16F1" w:rsidRDefault="00AD2748" w:rsidP="00BC16F1">
      <w:pPr>
        <w:pStyle w:val="ListParagraph"/>
        <w:numPr>
          <w:ilvl w:val="0"/>
          <w:numId w:val="36"/>
        </w:numPr>
      </w:pPr>
      <w:r>
        <w:t>The POP/ALS beam path from HAM3 to HAM1</w:t>
      </w:r>
      <w:r w:rsidR="00BC16F1">
        <w:t xml:space="preserve">, </w:t>
      </w:r>
      <w:r w:rsidR="009614E2">
        <w:t>POP</w:t>
      </w:r>
    </w:p>
    <w:p w14:paraId="18CA217A" w14:textId="1EFFC018" w:rsidR="00CB0A16" w:rsidRDefault="009918AB" w:rsidP="00BC16F1">
      <w:pPr>
        <w:pStyle w:val="ListParagraph"/>
        <w:numPr>
          <w:ilvl w:val="0"/>
          <w:numId w:val="36"/>
        </w:numPr>
      </w:pPr>
      <w:r>
        <w:t>O</w:t>
      </w:r>
      <w:r w:rsidR="00CB0A16">
        <w:t xml:space="preserve">ptionally, the </w:t>
      </w:r>
      <w:r w:rsidR="00264C36">
        <w:t xml:space="preserve">in-air </w:t>
      </w:r>
      <w:r w:rsidR="00CB0A16">
        <w:t>REFL beam path</w:t>
      </w:r>
    </w:p>
    <w:p w14:paraId="1D72F7AD" w14:textId="54791B54" w:rsidR="00BC16F1" w:rsidRDefault="009918AB" w:rsidP="00BC16F1">
      <w:pPr>
        <w:pStyle w:val="ListParagraph"/>
        <w:numPr>
          <w:ilvl w:val="0"/>
          <w:numId w:val="36"/>
        </w:numPr>
      </w:pPr>
      <w:r>
        <w:t>T</w:t>
      </w:r>
      <w:r w:rsidR="00BC16F1">
        <w:t>he ALS optics on the PSL table including the beam path</w:t>
      </w:r>
      <w:r w:rsidR="00CB0A16">
        <w:t xml:space="preserve"> to ISCT1</w:t>
      </w:r>
    </w:p>
    <w:p w14:paraId="5E945DB8" w14:textId="451A51B6" w:rsidR="009918AB" w:rsidRDefault="009918AB" w:rsidP="00BC16F1">
      <w:pPr>
        <w:pStyle w:val="ListParagraph"/>
        <w:numPr>
          <w:ilvl w:val="0"/>
          <w:numId w:val="36"/>
        </w:numPr>
      </w:pPr>
      <w:r>
        <w:t>The SHG</w:t>
      </w:r>
      <w:r w:rsidR="00264C36">
        <w:t xml:space="preserve"> (second harmonic generator)</w:t>
      </w:r>
      <w:r>
        <w:t xml:space="preserve"> and green locking photodiodes on ISCT1</w:t>
      </w:r>
    </w:p>
    <w:p w14:paraId="7CDC4CAF" w14:textId="77777777" w:rsidR="009918AB" w:rsidRDefault="009918AB" w:rsidP="00BC16F1">
      <w:pPr>
        <w:pStyle w:val="ListParagraph"/>
        <w:numPr>
          <w:ilvl w:val="0"/>
          <w:numId w:val="36"/>
        </w:numPr>
      </w:pPr>
      <w:r>
        <w:t>The ISC electronics associated with the corner ALS.</w:t>
      </w:r>
    </w:p>
    <w:p w14:paraId="2A76C48B" w14:textId="77777777" w:rsidR="00FB1B59" w:rsidRDefault="0010690F" w:rsidP="009614E2">
      <w:pPr>
        <w:pStyle w:val="Heading1"/>
      </w:pPr>
      <w:bookmarkStart w:id="1" w:name="_Ref158710027"/>
      <w:r>
        <w:lastRenderedPageBreak/>
        <w:t>HIFO-Y</w:t>
      </w:r>
      <w:r w:rsidR="00FB1B59">
        <w:t xml:space="preserve"> Objectives</w:t>
      </w:r>
      <w:bookmarkEnd w:id="1"/>
    </w:p>
    <w:p w14:paraId="295EE2C9" w14:textId="77777777" w:rsidR="00977ED8" w:rsidRDefault="00FB1B59" w:rsidP="00977ED8">
      <w:r>
        <w:t xml:space="preserve">As noted earlier, there are two main objectives of the </w:t>
      </w:r>
      <w:r w:rsidR="00977ED8">
        <w:t>HIFO-Y</w:t>
      </w:r>
      <w:r>
        <w:t xml:space="preserve"> integration phase:</w:t>
      </w:r>
      <w:r w:rsidR="00977ED8" w:rsidRPr="00977ED8">
        <w:t xml:space="preserve"> </w:t>
      </w:r>
    </w:p>
    <w:p w14:paraId="382F0E24" w14:textId="77777777" w:rsidR="00977ED8" w:rsidRDefault="00977ED8" w:rsidP="00977ED8">
      <w:pPr>
        <w:pStyle w:val="ListParagraph"/>
        <w:numPr>
          <w:ilvl w:val="0"/>
          <w:numId w:val="37"/>
        </w:numPr>
      </w:pPr>
      <w:r>
        <w:t xml:space="preserve">Attaining and verifying the performance of the ALS corner recombination using a single arm cavity, at the level required </w:t>
      </w:r>
      <w:proofErr w:type="gramStart"/>
      <w:r>
        <w:t>to support</w:t>
      </w:r>
      <w:proofErr w:type="gramEnd"/>
      <w:r>
        <w:t xml:space="preserve"> full interferometer lock acquisition.</w:t>
      </w:r>
    </w:p>
    <w:p w14:paraId="003E3BBF" w14:textId="77777777" w:rsidR="00977ED8" w:rsidRDefault="00977ED8" w:rsidP="00977ED8">
      <w:pPr>
        <w:pStyle w:val="ListParagraph"/>
        <w:numPr>
          <w:ilvl w:val="0"/>
          <w:numId w:val="37"/>
        </w:numPr>
      </w:pPr>
      <w:r>
        <w:t>Achieve full automation of the process.</w:t>
      </w:r>
    </w:p>
    <w:p w14:paraId="6E86B87E" w14:textId="77777777" w:rsidR="00FB1B59" w:rsidRDefault="00FB1B59" w:rsidP="0028489B">
      <w:r>
        <w:t>These objectives, as well as various secondary objectives, are further discussed below. First we present noise estimates for the arm cavity.</w:t>
      </w:r>
    </w:p>
    <w:p w14:paraId="4160BD20" w14:textId="77777777" w:rsidR="00FB1B59" w:rsidRDefault="00FB1B59" w:rsidP="009F0CF5">
      <w:pPr>
        <w:pStyle w:val="Heading2"/>
      </w:pPr>
      <w:r>
        <w:t>ALS test objectives</w:t>
      </w:r>
    </w:p>
    <w:p w14:paraId="37444686" w14:textId="77777777" w:rsidR="00FB1B59" w:rsidRDefault="00FB1B59" w:rsidP="009F0CF5">
      <w:r>
        <w:t>The full ALS system has four main control loops:</w:t>
      </w:r>
    </w:p>
    <w:p w14:paraId="51524A9C" w14:textId="77777777" w:rsidR="00FB1B59" w:rsidRDefault="00FB1B59" w:rsidP="00A0226B">
      <w:pPr>
        <w:pStyle w:val="ListParagraph"/>
        <w:numPr>
          <w:ilvl w:val="0"/>
          <w:numId w:val="30"/>
        </w:numPr>
        <w:spacing w:after="120"/>
      </w:pPr>
      <w:r>
        <w:t>Lock of ALS laser 532 nm beam to Arm Cavity (at each end)</w:t>
      </w:r>
    </w:p>
    <w:p w14:paraId="5D052AE5" w14:textId="77777777" w:rsidR="00FB1B59" w:rsidRDefault="00FB1B59" w:rsidP="00A0226B">
      <w:pPr>
        <w:pStyle w:val="ListParagraph"/>
        <w:numPr>
          <w:ilvl w:val="0"/>
          <w:numId w:val="30"/>
        </w:numPr>
        <w:spacing w:after="120"/>
      </w:pPr>
      <w:r>
        <w:t>Phase/frequency lock of ALS laser to PSL light (at each end)</w:t>
      </w:r>
    </w:p>
    <w:p w14:paraId="2A4B866F" w14:textId="77777777" w:rsidR="00FB1B59" w:rsidRDefault="00FB1B59" w:rsidP="00A0226B">
      <w:pPr>
        <w:pStyle w:val="ListParagraph"/>
        <w:numPr>
          <w:ilvl w:val="0"/>
          <w:numId w:val="30"/>
        </w:numPr>
        <w:spacing w:after="120"/>
      </w:pPr>
      <w:r>
        <w:t>Arm differential mode suppression: feedback to the arm cavity length differential mode, based on vertex heterodyning of X- and Y-arm ALS beams</w:t>
      </w:r>
    </w:p>
    <w:p w14:paraId="2E7111BD" w14:textId="77777777" w:rsidR="00FB1B59" w:rsidRDefault="00FB1B59" w:rsidP="00A0226B">
      <w:pPr>
        <w:pStyle w:val="ListParagraph"/>
        <w:numPr>
          <w:ilvl w:val="0"/>
          <w:numId w:val="30"/>
        </w:numPr>
        <w:spacing w:after="120"/>
      </w:pPr>
      <w:r>
        <w:t>Common mode feedback: feedback to the PSL frequency via the common mode servo, based on vertex heterodyning of X-arm (or Y) and PSL beams</w:t>
      </w:r>
    </w:p>
    <w:p w14:paraId="42C24917" w14:textId="77777777" w:rsidR="00FB1B59" w:rsidRDefault="00FB1B59" w:rsidP="00CD5895">
      <w:pPr>
        <w:spacing w:after="120"/>
      </w:pPr>
      <w:r>
        <w:t xml:space="preserve">The </w:t>
      </w:r>
      <w:r w:rsidR="00A16CA3">
        <w:t>H2OAT</w:t>
      </w:r>
      <w:r>
        <w:t xml:space="preserve"> </w:t>
      </w:r>
      <w:r w:rsidR="00824672">
        <w:t>has</w:t>
      </w:r>
      <w:r>
        <w:t xml:space="preserve"> fully test</w:t>
      </w:r>
      <w:r w:rsidR="00824672">
        <w:t>ed (1) and (</w:t>
      </w:r>
      <w:r>
        <w:t>2</w:t>
      </w:r>
      <w:r w:rsidR="00824672">
        <w:t>).</w:t>
      </w:r>
      <w:r>
        <w:t xml:space="preserve"> </w:t>
      </w:r>
      <w:r w:rsidR="00824672">
        <w:t>The HIFO-Y is testing (4)</w:t>
      </w:r>
      <w:r w:rsidR="000862FA">
        <w:t xml:space="preserve">, whereas the </w:t>
      </w:r>
      <w:r w:rsidR="00A51954">
        <w:t>HIFO-X will test </w:t>
      </w:r>
      <w:r w:rsidR="000862FA">
        <w:t xml:space="preserve">(3). </w:t>
      </w:r>
      <w:r w:rsidR="00CD5895">
        <w:t>For HIFO-Y we have the following specific design issues t</w:t>
      </w:r>
      <w:r>
        <w:t>hat the testing should inform:</w:t>
      </w:r>
    </w:p>
    <w:p w14:paraId="327AD17F" w14:textId="1DBD980C" w:rsidR="00CD5895" w:rsidRDefault="00CD5895" w:rsidP="00094826">
      <w:pPr>
        <w:pStyle w:val="ListParagraph"/>
        <w:numPr>
          <w:ilvl w:val="0"/>
          <w:numId w:val="32"/>
        </w:numPr>
        <w:spacing w:before="100" w:after="100"/>
      </w:pPr>
      <w:r>
        <w:t>Is our SHG fully functional, and does it operate stably and robust</w:t>
      </w:r>
      <w:r w:rsidR="008E2F0E">
        <w:t>ly</w:t>
      </w:r>
      <w:r w:rsidR="00264C36">
        <w:t>?</w:t>
      </w:r>
    </w:p>
    <w:p w14:paraId="2CC3BC52" w14:textId="0D7ED18A" w:rsidR="00452283" w:rsidRDefault="00452283" w:rsidP="00094826">
      <w:pPr>
        <w:pStyle w:val="ListParagraph"/>
        <w:numPr>
          <w:ilvl w:val="0"/>
          <w:numId w:val="32"/>
        </w:numPr>
        <w:spacing w:before="100" w:after="100"/>
      </w:pPr>
      <w:r>
        <w:t>Does the interference between the green beams from the end station and PSL yield a</w:t>
      </w:r>
      <w:r w:rsidR="00C00251">
        <w:t>n</w:t>
      </w:r>
      <w:r>
        <w:t xml:space="preserve"> adequate error </w:t>
      </w:r>
      <w:proofErr w:type="gramStart"/>
      <w:r>
        <w:t>signal which can be used to offset lock</w:t>
      </w:r>
      <w:proofErr w:type="gramEnd"/>
      <w:r>
        <w:t xml:space="preserve"> the laser frequency to the arm cavity</w:t>
      </w:r>
      <w:r w:rsidR="00264C36">
        <w:t>?</w:t>
      </w:r>
    </w:p>
    <w:p w14:paraId="6C1C5EB1" w14:textId="5539520E" w:rsidR="00C00251" w:rsidRDefault="00C00251" w:rsidP="00094826">
      <w:pPr>
        <w:pStyle w:val="ListParagraph"/>
        <w:numPr>
          <w:ilvl w:val="0"/>
          <w:numId w:val="32"/>
        </w:numPr>
        <w:spacing w:before="100" w:after="100"/>
      </w:pPr>
      <w:proofErr w:type="gramStart"/>
      <w:r>
        <w:t>Are the red and green cavity</w:t>
      </w:r>
      <w:proofErr w:type="gramEnd"/>
      <w:r>
        <w:t xml:space="preserve"> locking points sufficiently stable relative to each other</w:t>
      </w:r>
      <w:r w:rsidR="00264C36">
        <w:t>?</w:t>
      </w:r>
    </w:p>
    <w:p w14:paraId="1769A264" w14:textId="11E77855" w:rsidR="00FB1B59" w:rsidRDefault="00C00251" w:rsidP="00094826">
      <w:pPr>
        <w:pStyle w:val="ListParagraph"/>
        <w:numPr>
          <w:ilvl w:val="0"/>
          <w:numId w:val="32"/>
        </w:numPr>
        <w:spacing w:before="100" w:after="100"/>
      </w:pPr>
      <w:r>
        <w:t>How do we calibrate the frequency offset between the red and green locking points, and how stable is this offset</w:t>
      </w:r>
      <w:r w:rsidR="00264C36">
        <w:t>?</w:t>
      </w:r>
    </w:p>
    <w:p w14:paraId="07FAC674" w14:textId="67F3EADB" w:rsidR="00071556" w:rsidRPr="00071556" w:rsidRDefault="00071556" w:rsidP="004F609B">
      <w:pPr>
        <w:pStyle w:val="ListParagraph"/>
        <w:numPr>
          <w:ilvl w:val="0"/>
          <w:numId w:val="32"/>
        </w:numPr>
        <w:spacing w:before="0"/>
        <w:jc w:val="left"/>
        <w:rPr>
          <w:szCs w:val="24"/>
        </w:rPr>
      </w:pPr>
      <w:r w:rsidRPr="00071556">
        <w:rPr>
          <w:szCs w:val="24"/>
        </w:rPr>
        <w:t xml:space="preserve">Comparison of alignment fluctuation data </w:t>
      </w:r>
      <w:r w:rsidR="000B4F14">
        <w:rPr>
          <w:szCs w:val="24"/>
        </w:rPr>
        <w:t xml:space="preserve">obtained </w:t>
      </w:r>
      <w:r w:rsidRPr="00071556">
        <w:rPr>
          <w:szCs w:val="24"/>
        </w:rPr>
        <w:t xml:space="preserve">in HIFO-Y </w:t>
      </w:r>
      <w:r w:rsidR="000B4F14">
        <w:rPr>
          <w:szCs w:val="24"/>
        </w:rPr>
        <w:t xml:space="preserve">using the </w:t>
      </w:r>
      <w:proofErr w:type="spellStart"/>
      <w:r w:rsidR="000B4F14">
        <w:rPr>
          <w:szCs w:val="24"/>
        </w:rPr>
        <w:t>TransMon</w:t>
      </w:r>
      <w:proofErr w:type="spellEnd"/>
      <w:r w:rsidR="000B4F14">
        <w:rPr>
          <w:szCs w:val="24"/>
        </w:rPr>
        <w:t xml:space="preserve"> IR QPDs, </w:t>
      </w:r>
      <w:r w:rsidRPr="00071556">
        <w:rPr>
          <w:szCs w:val="24"/>
        </w:rPr>
        <w:t xml:space="preserve">and the </w:t>
      </w:r>
      <w:r w:rsidR="000B4F14">
        <w:rPr>
          <w:szCs w:val="24"/>
        </w:rPr>
        <w:t>data obtained in OAT using 532 nm</w:t>
      </w:r>
      <w:r w:rsidRPr="00071556">
        <w:rPr>
          <w:szCs w:val="24"/>
        </w:rPr>
        <w:t xml:space="preserve"> wave front sensors</w:t>
      </w:r>
      <w:r w:rsidR="000B4F14">
        <w:rPr>
          <w:szCs w:val="24"/>
        </w:rPr>
        <w:t>.</w:t>
      </w:r>
    </w:p>
    <w:p w14:paraId="4A8793FE" w14:textId="3524F308" w:rsidR="005439F5" w:rsidRDefault="00654F9F" w:rsidP="00654F9F">
      <w:pPr>
        <w:pStyle w:val="ListParagraph"/>
        <w:numPr>
          <w:ilvl w:val="0"/>
          <w:numId w:val="32"/>
        </w:numPr>
        <w:spacing w:before="100" w:after="100"/>
      </w:pPr>
      <w:r>
        <w:t xml:space="preserve">What’s the effect of pointing fluctuations on the offset </w:t>
      </w:r>
      <w:r w:rsidR="001009D8">
        <w:t>locking</w:t>
      </w:r>
      <w:r w:rsidR="00264C36">
        <w:t>?</w:t>
      </w:r>
    </w:p>
    <w:p w14:paraId="4E4563EB" w14:textId="77777777" w:rsidR="00FB1B59" w:rsidRDefault="005439F5" w:rsidP="003933A0">
      <w:pPr>
        <w:pStyle w:val="ListParagraph"/>
        <w:numPr>
          <w:ilvl w:val="0"/>
          <w:numId w:val="32"/>
        </w:numPr>
        <w:spacing w:before="100" w:after="100"/>
      </w:pPr>
      <w:r>
        <w:t>Do we have adequate information available in the slow controls system to fully automate the locking procedure</w:t>
      </w:r>
      <w:r w:rsidR="001009D8">
        <w:t>?</w:t>
      </w:r>
    </w:p>
    <w:p w14:paraId="560A03F2" w14:textId="29A69BA8" w:rsidR="00A11310" w:rsidRDefault="00A11310" w:rsidP="00967803">
      <w:pPr>
        <w:pStyle w:val="ListParagraph"/>
        <w:numPr>
          <w:ilvl w:val="0"/>
          <w:numId w:val="32"/>
        </w:numPr>
        <w:spacing w:before="100" w:after="100"/>
      </w:pPr>
      <w:r w:rsidRPr="00A11310">
        <w:rPr>
          <w:szCs w:val="24"/>
        </w:rPr>
        <w:t xml:space="preserve">For SEI+SUS the OAT data resulted in a discrepancy between the cavity motion as measured by the cavity control signal, and the predicted cavity motion using the </w:t>
      </w:r>
      <w:r w:rsidR="00967803">
        <w:rPr>
          <w:szCs w:val="24"/>
        </w:rPr>
        <w:t>ISI data and the Quad SUS model—</w:t>
      </w:r>
      <w:r w:rsidRPr="00A11310">
        <w:rPr>
          <w:szCs w:val="24"/>
        </w:rPr>
        <w:t xml:space="preserve">like a factor of 4 difference at the lowest Quad mode (0.45 Hz), where they really should match up pretty well (not dominated by </w:t>
      </w:r>
      <w:r>
        <w:rPr>
          <w:szCs w:val="24"/>
        </w:rPr>
        <w:t>frequency noise).</w:t>
      </w:r>
    </w:p>
    <w:p w14:paraId="571716BF" w14:textId="77777777" w:rsidR="00994F7C" w:rsidRDefault="00FB1B59" w:rsidP="00994F7C">
      <w:pPr>
        <w:pStyle w:val="Heading2"/>
      </w:pPr>
      <w:r>
        <w:br w:type="page"/>
      </w:r>
      <w:r w:rsidR="00C25123">
        <w:lastRenderedPageBreak/>
        <w:t xml:space="preserve">End Station </w:t>
      </w:r>
      <w:r w:rsidR="00C20659">
        <w:t>Improvements</w:t>
      </w:r>
    </w:p>
    <w:p w14:paraId="2BD07834" w14:textId="658C5132" w:rsidR="00AB1BFA" w:rsidRDefault="00994F7C" w:rsidP="00AB1BFA">
      <w:pPr>
        <w:spacing w:after="120"/>
      </w:pPr>
      <w:r>
        <w:t xml:space="preserve">The </w:t>
      </w:r>
      <w:r w:rsidR="00C25123">
        <w:t xml:space="preserve">H2 OAT test concluded with a couple of </w:t>
      </w:r>
      <w:proofErr w:type="gramStart"/>
      <w:r w:rsidR="00C25123">
        <w:t>recommendation</w:t>
      </w:r>
      <w:r w:rsidR="00264C36">
        <w:t>s</w:t>
      </w:r>
      <w:r w:rsidR="00C25123">
        <w:t xml:space="preserve"> </w:t>
      </w:r>
      <w:r w:rsidR="00A844F0">
        <w:t>which</w:t>
      </w:r>
      <w:proofErr w:type="gramEnd"/>
      <w:r w:rsidR="00A844F0">
        <w:t xml:space="preserve"> ar</w:t>
      </w:r>
      <w:r w:rsidR="00A36349">
        <w:t>e</w:t>
      </w:r>
      <w:r w:rsidR="00A844F0">
        <w:t xml:space="preserve"> </w:t>
      </w:r>
      <w:r w:rsidR="00A36349">
        <w:t xml:space="preserve">listed in </w:t>
      </w:r>
      <w:hyperlink r:id="rId14" w:history="1">
        <w:r w:rsidR="00233F79" w:rsidRPr="00233F79">
          <w:rPr>
            <w:rStyle w:val="Hyperlink"/>
          </w:rPr>
          <w:t>T1200261</w:t>
        </w:r>
      </w:hyperlink>
      <w:r w:rsidR="00A844F0">
        <w:t>.</w:t>
      </w:r>
      <w:r w:rsidR="00C25416">
        <w:t xml:space="preserve"> </w:t>
      </w:r>
      <w:proofErr w:type="gramStart"/>
      <w:r w:rsidR="00C25416">
        <w:t>The one most relevant to</w:t>
      </w:r>
      <w:r w:rsidR="001657D5">
        <w:t xml:space="preserve"> HIFO-Y </w:t>
      </w:r>
      <w:r w:rsidR="00264C36">
        <w:t>is</w:t>
      </w:r>
      <w:r w:rsidR="001657D5">
        <w:t xml:space="preserve"> improvement</w:t>
      </w:r>
      <w:r w:rsidR="00AB1BFA">
        <w:t>s</w:t>
      </w:r>
      <w:r w:rsidR="001657D5">
        <w:t xml:space="preserve"> in automation</w:t>
      </w:r>
      <w:proofErr w:type="gramEnd"/>
      <w:r w:rsidR="00AB1BFA">
        <w:t xml:space="preserve">, </w:t>
      </w:r>
      <w:proofErr w:type="gramStart"/>
      <w:r w:rsidR="00AB1BFA">
        <w:t xml:space="preserve">see </w:t>
      </w:r>
      <w:hyperlink r:id="rId15" w:history="1">
        <w:r w:rsidR="00AB1BFA" w:rsidRPr="00AB1BFA">
          <w:rPr>
            <w:rStyle w:val="Hyperlink"/>
          </w:rPr>
          <w:t>E1200908</w:t>
        </w:r>
        <w:proofErr w:type="gramEnd"/>
      </w:hyperlink>
      <w:r w:rsidR="001657D5">
        <w:t>.</w:t>
      </w:r>
      <w:r w:rsidR="00AB1BFA">
        <w:t xml:space="preserve"> Part of the HIFO-Y commissioning phase will be to test and evaluate these improvements. In particular, we are interested in </w:t>
      </w:r>
    </w:p>
    <w:p w14:paraId="77A01C0F" w14:textId="5313DC74" w:rsidR="00C25416" w:rsidRDefault="00AB1BFA" w:rsidP="00AB1BFA">
      <w:pPr>
        <w:pStyle w:val="ListParagraph"/>
        <w:numPr>
          <w:ilvl w:val="0"/>
          <w:numId w:val="32"/>
        </w:numPr>
        <w:spacing w:before="100" w:after="100"/>
      </w:pPr>
      <w:r>
        <w:t>Quantifying the stability improvements of the light launched by the fiber from the PSL</w:t>
      </w:r>
    </w:p>
    <w:p w14:paraId="54615BFE" w14:textId="77777777" w:rsidR="00AB1BFA" w:rsidRDefault="00AB1BFA" w:rsidP="00AB1BFA">
      <w:pPr>
        <w:pStyle w:val="ListParagraph"/>
        <w:numPr>
          <w:ilvl w:val="0"/>
          <w:numId w:val="32"/>
        </w:numPr>
        <w:spacing w:before="100" w:after="100"/>
      </w:pPr>
      <w:r>
        <w:t>Implementing a robust automation scheme for the green laser locking.</w:t>
      </w:r>
    </w:p>
    <w:p w14:paraId="3612F285" w14:textId="77777777" w:rsidR="00ED3987" w:rsidRDefault="001773CA" w:rsidP="009614E2">
      <w:pPr>
        <w:pStyle w:val="Heading1"/>
      </w:pPr>
      <w:r>
        <w:t>Intermediate and Quantitative Test Goals</w:t>
      </w:r>
    </w:p>
    <w:p w14:paraId="0FEEAA97" w14:textId="77777777" w:rsidR="001773CA" w:rsidRPr="00ED3987" w:rsidRDefault="00ED3987" w:rsidP="00ED3987">
      <w:pPr>
        <w:keepNext/>
      </w:pPr>
      <w:r>
        <w:t>The table below lists some intermediate and quantitative goals that will be used to gauge progress and guide how the objectives mentioned above are evaluated.</w:t>
      </w:r>
    </w:p>
    <w:p w14:paraId="52132744" w14:textId="77777777" w:rsidR="00EE4D45" w:rsidRDefault="00EE4D45" w:rsidP="00624503">
      <w:pPr>
        <w:keepNext/>
      </w:pPr>
    </w:p>
    <w:tbl>
      <w:tblPr>
        <w:tblStyle w:val="TableGrid"/>
        <w:tblW w:w="0" w:type="auto"/>
        <w:tblBorders>
          <w:left w:val="none" w:sz="0" w:space="0" w:color="auto"/>
          <w:right w:val="none" w:sz="0" w:space="0" w:color="auto"/>
        </w:tblBorders>
        <w:tblCellMar>
          <w:left w:w="115" w:type="dxa"/>
          <w:right w:w="115" w:type="dxa"/>
        </w:tblCellMar>
        <w:tblLook w:val="00A0" w:firstRow="1" w:lastRow="0" w:firstColumn="1" w:lastColumn="0" w:noHBand="0" w:noVBand="0"/>
      </w:tblPr>
      <w:tblGrid>
        <w:gridCol w:w="2430"/>
        <w:gridCol w:w="7160"/>
      </w:tblGrid>
      <w:tr w:rsidR="00EE4D45" w14:paraId="276CE116" w14:textId="77777777" w:rsidTr="002A255B">
        <w:tc>
          <w:tcPr>
            <w:tcW w:w="2430" w:type="dxa"/>
            <w:tcBorders>
              <w:bottom w:val="single" w:sz="4" w:space="0" w:color="000000"/>
              <w:right w:val="nil"/>
            </w:tcBorders>
          </w:tcPr>
          <w:p w14:paraId="43D62F53" w14:textId="77777777" w:rsidR="00EE4D45" w:rsidRPr="00EE4D45" w:rsidRDefault="00EE4D45" w:rsidP="00624503">
            <w:pPr>
              <w:keepNext/>
              <w:spacing w:before="100" w:after="40"/>
              <w:jc w:val="center"/>
              <w:rPr>
                <w:b/>
              </w:rPr>
            </w:pPr>
            <w:r w:rsidRPr="00EE4D45">
              <w:rPr>
                <w:b/>
              </w:rPr>
              <w:t>Category/Subsystems</w:t>
            </w:r>
          </w:p>
        </w:tc>
        <w:tc>
          <w:tcPr>
            <w:tcW w:w="7160" w:type="dxa"/>
            <w:tcBorders>
              <w:left w:val="nil"/>
              <w:bottom w:val="single" w:sz="4" w:space="0" w:color="000000"/>
            </w:tcBorders>
          </w:tcPr>
          <w:p w14:paraId="0AE251E8" w14:textId="77777777" w:rsidR="00EE4D45" w:rsidRPr="00EE4D45" w:rsidRDefault="00EE4D45" w:rsidP="00624503">
            <w:pPr>
              <w:keepNext/>
              <w:spacing w:before="100" w:after="40"/>
              <w:jc w:val="center"/>
              <w:rPr>
                <w:b/>
              </w:rPr>
            </w:pPr>
            <w:r w:rsidRPr="00EE4D45">
              <w:rPr>
                <w:b/>
              </w:rPr>
              <w:t>Goal</w:t>
            </w:r>
          </w:p>
        </w:tc>
      </w:tr>
      <w:tr w:rsidR="00EE4D45" w14:paraId="304FE974" w14:textId="77777777" w:rsidTr="002A255B">
        <w:trPr>
          <w:cantSplit/>
        </w:trPr>
        <w:tc>
          <w:tcPr>
            <w:tcW w:w="2430" w:type="dxa"/>
            <w:tcBorders>
              <w:bottom w:val="nil"/>
              <w:right w:val="nil"/>
            </w:tcBorders>
          </w:tcPr>
          <w:p w14:paraId="1703DE7D" w14:textId="77777777" w:rsidR="00EE4D45" w:rsidRDefault="00994F7C" w:rsidP="00624503">
            <w:pPr>
              <w:keepNext/>
              <w:spacing w:before="100" w:after="40"/>
              <w:jc w:val="left"/>
            </w:pPr>
            <w:r>
              <w:t>SHG</w:t>
            </w:r>
          </w:p>
        </w:tc>
        <w:tc>
          <w:tcPr>
            <w:tcW w:w="7160" w:type="dxa"/>
            <w:tcBorders>
              <w:left w:val="nil"/>
              <w:bottom w:val="nil"/>
            </w:tcBorders>
          </w:tcPr>
          <w:p w14:paraId="0A7B1E8E" w14:textId="77777777" w:rsidR="00EE4D45" w:rsidRDefault="00994F7C" w:rsidP="00624503">
            <w:pPr>
              <w:keepNext/>
              <w:spacing w:before="100" w:after="40"/>
            </w:pPr>
            <w:r>
              <w:t>Long term stability of the emitted green light at the 5% level</w:t>
            </w:r>
          </w:p>
        </w:tc>
      </w:tr>
      <w:tr w:rsidR="00EE4D45" w14:paraId="6124379F" w14:textId="77777777" w:rsidTr="002A255B">
        <w:trPr>
          <w:cantSplit/>
        </w:trPr>
        <w:tc>
          <w:tcPr>
            <w:tcW w:w="2430" w:type="dxa"/>
            <w:tcBorders>
              <w:top w:val="nil"/>
              <w:bottom w:val="nil"/>
              <w:right w:val="nil"/>
            </w:tcBorders>
          </w:tcPr>
          <w:p w14:paraId="04BBE601" w14:textId="77777777" w:rsidR="00EE4D45" w:rsidRDefault="003D0DB7" w:rsidP="00624503">
            <w:pPr>
              <w:keepNext/>
              <w:spacing w:before="100" w:after="40"/>
              <w:jc w:val="left"/>
            </w:pPr>
            <w:r>
              <w:t>Cavity locking/ISC</w:t>
            </w:r>
          </w:p>
        </w:tc>
        <w:tc>
          <w:tcPr>
            <w:tcW w:w="7160" w:type="dxa"/>
            <w:tcBorders>
              <w:top w:val="nil"/>
              <w:left w:val="nil"/>
              <w:bottom w:val="nil"/>
            </w:tcBorders>
          </w:tcPr>
          <w:p w14:paraId="37736631" w14:textId="77777777" w:rsidR="00EE4D45" w:rsidRDefault="004A32ED" w:rsidP="004A32ED">
            <w:pPr>
              <w:keepNext/>
              <w:spacing w:before="100" w:after="40"/>
            </w:pPr>
            <w:r>
              <w:t>Fully automated cavity locking using the improved hardware in the end</w:t>
            </w:r>
          </w:p>
        </w:tc>
      </w:tr>
      <w:tr w:rsidR="00717A37" w14:paraId="50E1141B" w14:textId="77777777" w:rsidTr="002A255B">
        <w:trPr>
          <w:cantSplit/>
        </w:trPr>
        <w:tc>
          <w:tcPr>
            <w:tcW w:w="2430" w:type="dxa"/>
            <w:tcBorders>
              <w:top w:val="nil"/>
              <w:bottom w:val="nil"/>
              <w:right w:val="nil"/>
            </w:tcBorders>
          </w:tcPr>
          <w:p w14:paraId="4576B616" w14:textId="77777777" w:rsidR="00717A37" w:rsidRDefault="00DB0E9F" w:rsidP="00624503">
            <w:pPr>
              <w:keepNext/>
              <w:spacing w:before="100" w:after="40"/>
              <w:jc w:val="left"/>
            </w:pPr>
            <w:r>
              <w:t>Controls/ALS</w:t>
            </w:r>
          </w:p>
        </w:tc>
        <w:tc>
          <w:tcPr>
            <w:tcW w:w="7160" w:type="dxa"/>
            <w:tcBorders>
              <w:top w:val="nil"/>
              <w:left w:val="nil"/>
              <w:bottom w:val="nil"/>
            </w:tcBorders>
          </w:tcPr>
          <w:p w14:paraId="76345656" w14:textId="77777777" w:rsidR="00717A37" w:rsidRDefault="00DB0E9F" w:rsidP="00DB0E9F">
            <w:pPr>
              <w:keepNext/>
              <w:spacing w:before="100" w:after="40"/>
            </w:pPr>
            <w:r>
              <w:t>Locking the PSL laser frequency to the arm cavity and a</w:t>
            </w:r>
            <w:r w:rsidR="00981204">
              <w:t>chieve 10 </w:t>
            </w:r>
            <w:r>
              <w:t>Hz relative stability over 10 minutes</w:t>
            </w:r>
          </w:p>
        </w:tc>
      </w:tr>
      <w:tr w:rsidR="00967803" w14:paraId="113C3645" w14:textId="77777777" w:rsidTr="002A255B">
        <w:trPr>
          <w:cantSplit/>
        </w:trPr>
        <w:tc>
          <w:tcPr>
            <w:tcW w:w="2430" w:type="dxa"/>
            <w:tcBorders>
              <w:top w:val="nil"/>
              <w:bottom w:val="nil"/>
              <w:right w:val="nil"/>
            </w:tcBorders>
          </w:tcPr>
          <w:p w14:paraId="74242FE9" w14:textId="265E505A" w:rsidR="00967803" w:rsidRDefault="00967803" w:rsidP="004502BC">
            <w:pPr>
              <w:keepNext/>
              <w:spacing w:before="100" w:after="40"/>
              <w:jc w:val="left"/>
            </w:pPr>
            <w:proofErr w:type="spellStart"/>
            <w:r>
              <w:t>TransMon</w:t>
            </w:r>
            <w:proofErr w:type="spellEnd"/>
            <w:r>
              <w:t>/ISC</w:t>
            </w:r>
          </w:p>
        </w:tc>
        <w:tc>
          <w:tcPr>
            <w:tcW w:w="7160" w:type="dxa"/>
            <w:tcBorders>
              <w:top w:val="nil"/>
              <w:left w:val="nil"/>
              <w:bottom w:val="nil"/>
            </w:tcBorders>
          </w:tcPr>
          <w:p w14:paraId="2B4F033E" w14:textId="7889D52B" w:rsidR="00967803" w:rsidRDefault="00967803" w:rsidP="00F91E56">
            <w:pPr>
              <w:keepNext/>
              <w:spacing w:before="100" w:after="40"/>
            </w:pPr>
            <w:r>
              <w:t>Calibration of IR QPDs for the cavity alignment at 10% level</w:t>
            </w:r>
          </w:p>
        </w:tc>
      </w:tr>
      <w:tr w:rsidR="00EE4D45" w14:paraId="58E098A0" w14:textId="77777777" w:rsidTr="002A255B">
        <w:trPr>
          <w:cantSplit/>
        </w:trPr>
        <w:tc>
          <w:tcPr>
            <w:tcW w:w="2430" w:type="dxa"/>
            <w:tcBorders>
              <w:top w:val="nil"/>
              <w:bottom w:val="nil"/>
              <w:right w:val="nil"/>
            </w:tcBorders>
          </w:tcPr>
          <w:p w14:paraId="65CD3B2E" w14:textId="616602E2" w:rsidR="00EE4D45" w:rsidRDefault="00967803" w:rsidP="004502BC">
            <w:pPr>
              <w:keepNext/>
              <w:spacing w:before="100" w:after="40"/>
              <w:jc w:val="left"/>
            </w:pPr>
            <w:proofErr w:type="spellStart"/>
            <w:r>
              <w:t>TransMon</w:t>
            </w:r>
            <w:proofErr w:type="spellEnd"/>
            <w:r>
              <w:t>/ISC</w:t>
            </w:r>
          </w:p>
        </w:tc>
        <w:tc>
          <w:tcPr>
            <w:tcW w:w="7160" w:type="dxa"/>
            <w:tcBorders>
              <w:top w:val="nil"/>
              <w:left w:val="nil"/>
              <w:bottom w:val="nil"/>
            </w:tcBorders>
          </w:tcPr>
          <w:p w14:paraId="0D6438B8" w14:textId="77777777" w:rsidR="00EE4D45" w:rsidRDefault="00F91E56" w:rsidP="00F91E56">
            <w:pPr>
              <w:keepNext/>
              <w:spacing w:before="100" w:after="40"/>
            </w:pPr>
            <w:r>
              <w:t>Use red Trans QPD to characterize the red cavity power and show resolution of 1% of full cavity power</w:t>
            </w:r>
          </w:p>
        </w:tc>
      </w:tr>
      <w:tr w:rsidR="007E5075" w14:paraId="692E93CA" w14:textId="77777777" w:rsidTr="002A255B">
        <w:trPr>
          <w:cantSplit/>
        </w:trPr>
        <w:tc>
          <w:tcPr>
            <w:tcW w:w="2430" w:type="dxa"/>
            <w:tcBorders>
              <w:top w:val="nil"/>
              <w:bottom w:val="nil"/>
              <w:right w:val="nil"/>
            </w:tcBorders>
          </w:tcPr>
          <w:p w14:paraId="3B4C0B4A" w14:textId="77777777" w:rsidR="007E5075" w:rsidRDefault="007E5075" w:rsidP="007E5075">
            <w:pPr>
              <w:keepNext/>
              <w:spacing w:before="100" w:after="40"/>
              <w:jc w:val="left"/>
            </w:pPr>
            <w:r>
              <w:t>ALS</w:t>
            </w:r>
          </w:p>
        </w:tc>
        <w:tc>
          <w:tcPr>
            <w:tcW w:w="7160" w:type="dxa"/>
            <w:tcBorders>
              <w:top w:val="nil"/>
              <w:left w:val="nil"/>
              <w:bottom w:val="nil"/>
            </w:tcBorders>
          </w:tcPr>
          <w:p w14:paraId="6F59F590" w14:textId="77777777" w:rsidR="007E5075" w:rsidRDefault="007E5075" w:rsidP="007E5075">
            <w:pPr>
              <w:keepNext/>
              <w:spacing w:before="100" w:after="40"/>
            </w:pPr>
            <w:r>
              <w:t>Ability to control frequency offset between 1064 nm and 532 nm resonances at the 10 Hz level</w:t>
            </w:r>
          </w:p>
        </w:tc>
      </w:tr>
      <w:tr w:rsidR="007E5075" w14:paraId="68D61283" w14:textId="77777777" w:rsidTr="002A255B">
        <w:trPr>
          <w:cantSplit/>
        </w:trPr>
        <w:tc>
          <w:tcPr>
            <w:tcW w:w="2430" w:type="dxa"/>
            <w:tcBorders>
              <w:top w:val="nil"/>
              <w:bottom w:val="nil"/>
              <w:right w:val="nil"/>
            </w:tcBorders>
          </w:tcPr>
          <w:p w14:paraId="3AE89D9A" w14:textId="77777777" w:rsidR="007E5075" w:rsidRDefault="007E5075" w:rsidP="007E5075">
            <w:pPr>
              <w:keepNext/>
              <w:spacing w:before="100" w:after="40"/>
              <w:jc w:val="left"/>
            </w:pPr>
            <w:r>
              <w:t>ALS</w:t>
            </w:r>
          </w:p>
        </w:tc>
        <w:tc>
          <w:tcPr>
            <w:tcW w:w="7160" w:type="dxa"/>
            <w:tcBorders>
              <w:top w:val="nil"/>
              <w:left w:val="nil"/>
              <w:bottom w:val="nil"/>
            </w:tcBorders>
          </w:tcPr>
          <w:p w14:paraId="08F2E208" w14:textId="77777777" w:rsidR="007E5075" w:rsidRDefault="007E5075" w:rsidP="007E5075">
            <w:pPr>
              <w:keepNext/>
              <w:spacing w:before="100" w:after="40"/>
            </w:pPr>
            <w:r>
              <w:t>Relative stability of the 1064 nm and 532 nm resonances at the 10 Hz level for frequencies below 0.5 Hz</w:t>
            </w:r>
          </w:p>
        </w:tc>
      </w:tr>
      <w:tr w:rsidR="007E5075" w14:paraId="19919EA9" w14:textId="77777777" w:rsidTr="002A255B">
        <w:trPr>
          <w:cantSplit/>
        </w:trPr>
        <w:tc>
          <w:tcPr>
            <w:tcW w:w="2430" w:type="dxa"/>
            <w:tcBorders>
              <w:top w:val="nil"/>
              <w:bottom w:val="nil"/>
              <w:right w:val="nil"/>
            </w:tcBorders>
          </w:tcPr>
          <w:p w14:paraId="779121F9" w14:textId="77777777" w:rsidR="007E5075" w:rsidRDefault="007E5075" w:rsidP="007E5075">
            <w:pPr>
              <w:keepNext/>
              <w:spacing w:before="100" w:after="40"/>
              <w:jc w:val="left"/>
            </w:pPr>
            <w:r>
              <w:t>Cavity alignment fluctuations / SEI/SUS</w:t>
            </w:r>
          </w:p>
        </w:tc>
        <w:tc>
          <w:tcPr>
            <w:tcW w:w="7160" w:type="dxa"/>
            <w:tcBorders>
              <w:top w:val="nil"/>
              <w:left w:val="nil"/>
              <w:bottom w:val="nil"/>
            </w:tcBorders>
          </w:tcPr>
          <w:p w14:paraId="15D14D5D" w14:textId="77777777" w:rsidR="007E5075" w:rsidRDefault="007E5075" w:rsidP="007E5075">
            <w:pPr>
              <w:keepNext/>
              <w:spacing w:before="100" w:after="40"/>
            </w:pPr>
            <w:r>
              <w:t xml:space="preserve">Characterize the effect of pointing fluctuations onto the locking offset and demonstrate less than 10 Hz </w:t>
            </w:r>
            <w:proofErr w:type="spellStart"/>
            <w:r>
              <w:t>rms</w:t>
            </w:r>
            <w:proofErr w:type="spellEnd"/>
            <w:r>
              <w:t xml:space="preserve"> over 10 minutes</w:t>
            </w:r>
          </w:p>
        </w:tc>
      </w:tr>
      <w:tr w:rsidR="000B4F14" w14:paraId="483D4730" w14:textId="77777777" w:rsidTr="002A255B">
        <w:trPr>
          <w:cantSplit/>
        </w:trPr>
        <w:tc>
          <w:tcPr>
            <w:tcW w:w="2430" w:type="dxa"/>
            <w:tcBorders>
              <w:top w:val="nil"/>
              <w:bottom w:val="nil"/>
              <w:right w:val="nil"/>
            </w:tcBorders>
          </w:tcPr>
          <w:p w14:paraId="5AFDD4DB" w14:textId="71E0D560" w:rsidR="000B4F14" w:rsidRDefault="000B4F14" w:rsidP="007E5075">
            <w:pPr>
              <w:keepNext/>
              <w:spacing w:before="100" w:after="40"/>
              <w:jc w:val="left"/>
            </w:pPr>
            <w:r>
              <w:t>Cavity length fluctuations /SEI/SUS</w:t>
            </w:r>
          </w:p>
        </w:tc>
        <w:tc>
          <w:tcPr>
            <w:tcW w:w="7160" w:type="dxa"/>
            <w:tcBorders>
              <w:top w:val="nil"/>
              <w:left w:val="nil"/>
              <w:bottom w:val="nil"/>
            </w:tcBorders>
          </w:tcPr>
          <w:p w14:paraId="56DBC5BA" w14:textId="5966B504" w:rsidR="000B4F14" w:rsidRDefault="000B4F14" w:rsidP="007E5075">
            <w:pPr>
              <w:keepNext/>
              <w:spacing w:before="100" w:after="40"/>
            </w:pPr>
            <w:r>
              <w:t>Agreement between modeled and measured length fluctuations, around the lowest quad suspension modes, to better than a factor of 2</w:t>
            </w:r>
          </w:p>
        </w:tc>
      </w:tr>
      <w:tr w:rsidR="007E5075" w14:paraId="70DCA766" w14:textId="77777777" w:rsidTr="002A255B">
        <w:trPr>
          <w:cantSplit/>
        </w:trPr>
        <w:tc>
          <w:tcPr>
            <w:tcW w:w="2430" w:type="dxa"/>
            <w:tcBorders>
              <w:top w:val="nil"/>
              <w:bottom w:val="nil"/>
              <w:right w:val="nil"/>
            </w:tcBorders>
          </w:tcPr>
          <w:p w14:paraId="028083E1" w14:textId="77777777" w:rsidR="007E5075" w:rsidRDefault="007E5075" w:rsidP="007E5075">
            <w:pPr>
              <w:keepNext/>
              <w:spacing w:before="100" w:after="40"/>
              <w:jc w:val="left"/>
            </w:pPr>
            <w:r>
              <w:t>Controls / ISC</w:t>
            </w:r>
          </w:p>
        </w:tc>
        <w:tc>
          <w:tcPr>
            <w:tcW w:w="7160" w:type="dxa"/>
            <w:tcBorders>
              <w:top w:val="nil"/>
              <w:left w:val="nil"/>
              <w:bottom w:val="nil"/>
            </w:tcBorders>
          </w:tcPr>
          <w:p w14:paraId="174FF0FC" w14:textId="77777777" w:rsidR="007E5075" w:rsidRDefault="007E5075" w:rsidP="007E5075">
            <w:pPr>
              <w:keepNext/>
              <w:spacing w:before="100" w:after="40"/>
            </w:pPr>
            <w:r>
              <w:t>Fully automated ALS locking sequence; long term robustness</w:t>
            </w:r>
          </w:p>
        </w:tc>
      </w:tr>
      <w:tr w:rsidR="007E5075" w14:paraId="2DDF7BE8" w14:textId="77777777" w:rsidTr="002A255B">
        <w:tc>
          <w:tcPr>
            <w:tcW w:w="2430" w:type="dxa"/>
            <w:tcBorders>
              <w:top w:val="nil"/>
              <w:right w:val="nil"/>
            </w:tcBorders>
          </w:tcPr>
          <w:p w14:paraId="5C0ED935" w14:textId="77777777" w:rsidR="007E5075" w:rsidRDefault="007E5075" w:rsidP="007E5075">
            <w:pPr>
              <w:keepNext/>
              <w:spacing w:before="100" w:after="40"/>
              <w:jc w:val="left"/>
            </w:pPr>
            <w:r>
              <w:t>Optical levers</w:t>
            </w:r>
          </w:p>
        </w:tc>
        <w:tc>
          <w:tcPr>
            <w:tcW w:w="7160" w:type="dxa"/>
            <w:tcBorders>
              <w:top w:val="nil"/>
              <w:left w:val="nil"/>
            </w:tcBorders>
          </w:tcPr>
          <w:p w14:paraId="40AFA87C" w14:textId="77777777" w:rsidR="007E5075" w:rsidRDefault="007E5075" w:rsidP="007E5075">
            <w:pPr>
              <w:keepNext/>
              <w:spacing w:before="100" w:after="40"/>
            </w:pPr>
            <w:r>
              <w:t>Optical lever long term drift below 1 </w:t>
            </w:r>
            <w:proofErr w:type="spellStart"/>
            <w:r>
              <w:rPr>
                <w:szCs w:val="24"/>
              </w:rPr>
              <w:t>μ</w:t>
            </w:r>
            <w:r>
              <w:t>rad</w:t>
            </w:r>
            <w:proofErr w:type="spellEnd"/>
          </w:p>
        </w:tc>
      </w:tr>
    </w:tbl>
    <w:p w14:paraId="71A14B78" w14:textId="77777777" w:rsidR="00A55BCA" w:rsidRPr="001773CA" w:rsidRDefault="00A55BCA" w:rsidP="00EE4D45"/>
    <w:sectPr w:rsidR="00A55BCA" w:rsidRPr="001773CA" w:rsidSect="005D2775">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AEA74" w14:textId="77777777" w:rsidR="00CE6A53" w:rsidRDefault="00CE6A53">
      <w:r>
        <w:separator/>
      </w:r>
    </w:p>
  </w:endnote>
  <w:endnote w:type="continuationSeparator" w:id="0">
    <w:p w14:paraId="5DE9F955" w14:textId="77777777" w:rsidR="00CE6A53" w:rsidRDefault="00CE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41B34" w14:textId="77777777" w:rsidR="00CE6A53" w:rsidRDefault="00CE6A53">
      <w:r>
        <w:separator/>
      </w:r>
    </w:p>
  </w:footnote>
  <w:footnote w:type="continuationSeparator" w:id="0">
    <w:p w14:paraId="5B0BBA8A" w14:textId="77777777" w:rsidR="00CE6A53" w:rsidRDefault="00CE6A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rPr>
        <w:rFonts w:cs="Times New Roman"/>
      </w:r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rPr>
        <w:rFonts w:cs="Times New Roman"/>
      </w:r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88F5855"/>
    <w:multiLevelType w:val="multilevel"/>
    <w:tmpl w:val="B51C74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96440F0"/>
    <w:multiLevelType w:val="multilevel"/>
    <w:tmpl w:val="AD7C0F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B9F6452"/>
    <w:multiLevelType w:val="multilevel"/>
    <w:tmpl w:val="429231C4"/>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9">
    <w:nsid w:val="30A15C6E"/>
    <w:multiLevelType w:val="multilevel"/>
    <w:tmpl w:val="54F251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31E43531"/>
    <w:multiLevelType w:val="hybridMultilevel"/>
    <w:tmpl w:val="B51C74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33A0894"/>
    <w:multiLevelType w:val="hybridMultilevel"/>
    <w:tmpl w:val="B51C74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EC13F83"/>
    <w:multiLevelType w:val="hybridMultilevel"/>
    <w:tmpl w:val="AD7C0F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05723ED"/>
    <w:multiLevelType w:val="singleLevel"/>
    <w:tmpl w:val="F78ECE74"/>
    <w:lvl w:ilvl="0">
      <w:start w:val="2"/>
      <w:numFmt w:val="decimal"/>
      <w:lvlText w:val="%1"/>
      <w:lvlJc w:val="left"/>
      <w:pPr>
        <w:tabs>
          <w:tab w:val="num" w:pos="720"/>
        </w:tabs>
        <w:ind w:left="720" w:hanging="720"/>
      </w:pPr>
      <w:rPr>
        <w:rFonts w:cs="Times New Roman" w:hint="default"/>
        <w:i w:val="0"/>
        <w:sz w:val="28"/>
      </w:rPr>
    </w:lvl>
  </w:abstractNum>
  <w:abstractNum w:abstractNumId="17">
    <w:nsid w:val="60B37888"/>
    <w:multiLevelType w:val="multilevel"/>
    <w:tmpl w:val="4FE0C2D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633E0FB2"/>
    <w:multiLevelType w:val="hybridMultilevel"/>
    <w:tmpl w:val="B51C74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63FC0392"/>
    <w:multiLevelType w:val="multilevel"/>
    <w:tmpl w:val="EFFE61D4"/>
    <w:lvl w:ilvl="0">
      <w:start w:val="2"/>
      <w:numFmt w:val="decimal"/>
      <w:lvlText w:val="%1"/>
      <w:lvlJc w:val="left"/>
      <w:pPr>
        <w:tabs>
          <w:tab w:val="num" w:pos="432"/>
        </w:tabs>
        <w:ind w:left="432" w:hanging="432"/>
      </w:pPr>
      <w:rPr>
        <w:rFonts w:cs="Times New Roman"/>
      </w:rPr>
    </w:lvl>
    <w:lvl w:ilvl="1">
      <w:start w:val="1"/>
      <w:numFmt w:val="decimal"/>
      <w:lvlText w:val="1.%2 "/>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65617CBE"/>
    <w:multiLevelType w:val="multilevel"/>
    <w:tmpl w:val="9978F8D0"/>
    <w:lvl w:ilvl="0">
      <w:start w:val="3"/>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1">
    <w:nsid w:val="656E739B"/>
    <w:multiLevelType w:val="hybridMultilevel"/>
    <w:tmpl w:val="878E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A7A20C3"/>
    <w:multiLevelType w:val="hybridMultilevel"/>
    <w:tmpl w:val="43F6A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3A52E2"/>
    <w:multiLevelType w:val="singleLevel"/>
    <w:tmpl w:val="FE127BBC"/>
    <w:lvl w:ilvl="0">
      <w:start w:val="1"/>
      <w:numFmt w:val="decimal"/>
      <w:lvlText w:val="%1"/>
      <w:lvlJc w:val="left"/>
      <w:pPr>
        <w:tabs>
          <w:tab w:val="num" w:pos="720"/>
        </w:tabs>
        <w:ind w:left="720" w:hanging="720"/>
      </w:pPr>
      <w:rPr>
        <w:rFonts w:cs="Times New Roman" w:hint="default"/>
      </w:rPr>
    </w:lvl>
  </w:abstractNum>
  <w:abstractNum w:abstractNumId="24">
    <w:nsid w:val="7A433082"/>
    <w:multiLevelType w:val="multilevel"/>
    <w:tmpl w:val="77F8FB42"/>
    <w:lvl w:ilvl="0">
      <w:start w:val="1"/>
      <w:numFmt w:val="decimal"/>
      <w:pStyle w:val="Heading1"/>
      <w:lvlText w:val="%1"/>
      <w:lvlJc w:val="left"/>
      <w:pPr>
        <w:tabs>
          <w:tab w:val="num" w:pos="1152"/>
        </w:tabs>
        <w:ind w:left="115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5">
    <w:nsid w:val="7C4B2131"/>
    <w:multiLevelType w:val="hybridMultilevel"/>
    <w:tmpl w:val="1B58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CF10FF4"/>
    <w:multiLevelType w:val="multilevel"/>
    <w:tmpl w:val="A51A6A48"/>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2"/>
  </w:num>
  <w:num w:numId="4">
    <w:abstractNumId w:val="1"/>
  </w:num>
  <w:num w:numId="5">
    <w:abstractNumId w:val="0"/>
  </w:num>
  <w:num w:numId="6">
    <w:abstractNumId w:val="16"/>
  </w:num>
  <w:num w:numId="7">
    <w:abstractNumId w:val="3"/>
  </w:num>
  <w:num w:numId="8">
    <w:abstractNumId w:val="2"/>
  </w:num>
  <w:num w:numId="9">
    <w:abstractNumId w:val="4"/>
  </w:num>
  <w:num w:numId="10">
    <w:abstractNumId w:val="8"/>
  </w:num>
  <w:num w:numId="11">
    <w:abstractNumId w:val="14"/>
  </w:num>
  <w:num w:numId="12">
    <w:abstractNumId w:val="15"/>
  </w:num>
  <w:num w:numId="13">
    <w:abstractNumId w:val="23"/>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20"/>
  </w:num>
  <w:num w:numId="19">
    <w:abstractNumId w:val="13"/>
  </w:num>
  <w:num w:numId="20">
    <w:abstractNumId w:val="9"/>
  </w:num>
  <w:num w:numId="21">
    <w:abstractNumId w:val="9"/>
  </w:num>
  <w:num w:numId="22">
    <w:abstractNumId w:val="9"/>
  </w:num>
  <w:num w:numId="23">
    <w:abstractNumId w:val="9"/>
  </w:num>
  <w:num w:numId="24">
    <w:abstractNumId w:val="9"/>
    <w:lvlOverride w:ilvl="0">
      <w:lvl w:ilvl="0">
        <w:start w:val="2"/>
        <w:numFmt w:val="decimal"/>
        <w:lvlText w:val="%1"/>
        <w:lvlJc w:val="left"/>
        <w:pPr>
          <w:tabs>
            <w:tab w:val="num" w:pos="432"/>
          </w:tabs>
          <w:ind w:left="432" w:hanging="432"/>
        </w:pPr>
        <w:rPr>
          <w:rFonts w:cs="Times New Roman"/>
        </w:rPr>
      </w:lvl>
    </w:lvlOverride>
    <w:lvlOverride w:ilvl="1">
      <w:lvl w:ilvl="1">
        <w:start w:val="1"/>
        <w:numFmt w:val="decimal"/>
        <w:lvlText w:val="1.%2 "/>
        <w:lvlJc w:val="left"/>
        <w:pPr>
          <w:tabs>
            <w:tab w:val="num" w:pos="576"/>
          </w:tabs>
          <w:ind w:left="576" w:hanging="576"/>
        </w:pPr>
        <w:rPr>
          <w:rFonts w:cs="Times New Roman"/>
        </w:rPr>
      </w:lvl>
    </w:lvlOverride>
    <w:lvlOverride w:ilvl="2">
      <w:lvl w:ilvl="2">
        <w:start w:val="1"/>
        <w:numFmt w:val="decimal"/>
        <w:lvlText w:val="%1.%2.%3"/>
        <w:lvlJc w:val="left"/>
        <w:pPr>
          <w:tabs>
            <w:tab w:val="num" w:pos="720"/>
          </w:tabs>
          <w:ind w:left="720" w:hanging="720"/>
        </w:pPr>
        <w:rPr>
          <w:rFonts w:cs="Times New Roman"/>
        </w:rPr>
      </w:lvl>
    </w:lvlOverride>
    <w:lvlOverride w:ilvl="3">
      <w:lvl w:ilvl="3">
        <w:start w:val="1"/>
        <w:numFmt w:val="decimal"/>
        <w:lvlText w:val="%1.%2.%3.%4"/>
        <w:lvlJc w:val="left"/>
        <w:pPr>
          <w:tabs>
            <w:tab w:val="num" w:pos="864"/>
          </w:tabs>
          <w:ind w:left="864" w:hanging="864"/>
        </w:pPr>
        <w:rPr>
          <w:rFonts w:cs="Times New Roman"/>
        </w:rPr>
      </w:lvl>
    </w:lvlOverride>
    <w:lvlOverride w:ilvl="4">
      <w:lvl w:ilvl="4">
        <w:start w:val="1"/>
        <w:numFmt w:val="decimal"/>
        <w:lvlText w:val="%1.%2.%3.%4.%5"/>
        <w:lvlJc w:val="left"/>
        <w:pPr>
          <w:tabs>
            <w:tab w:val="num" w:pos="1008"/>
          </w:tabs>
          <w:ind w:left="1008" w:hanging="1008"/>
        </w:pPr>
        <w:rPr>
          <w:rFonts w:cs="Times New Roman"/>
        </w:rPr>
      </w:lvl>
    </w:lvlOverride>
    <w:lvlOverride w:ilvl="5">
      <w:lvl w:ilvl="5">
        <w:start w:val="1"/>
        <w:numFmt w:val="decimal"/>
        <w:lvlText w:val="%1.%2.%3.%4.%5.%6"/>
        <w:lvlJc w:val="left"/>
        <w:pPr>
          <w:tabs>
            <w:tab w:val="num" w:pos="1152"/>
          </w:tabs>
          <w:ind w:left="1152" w:hanging="1152"/>
        </w:pPr>
        <w:rPr>
          <w:rFonts w:cs="Times New Roman"/>
        </w:rPr>
      </w:lvl>
    </w:lvlOverride>
    <w:lvlOverride w:ilvl="6">
      <w:lvl w:ilvl="6">
        <w:start w:val="1"/>
        <w:numFmt w:val="decimal"/>
        <w:lvlText w:val="%1.%2.%3.%4.%5.%6.%7"/>
        <w:lvlJc w:val="left"/>
        <w:pPr>
          <w:tabs>
            <w:tab w:val="num" w:pos="1296"/>
          </w:tabs>
          <w:ind w:left="1296" w:hanging="1296"/>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584"/>
          </w:tabs>
          <w:ind w:left="1584" w:hanging="1584"/>
        </w:pPr>
        <w:rPr>
          <w:rFonts w:cs="Times New Roman"/>
        </w:rPr>
      </w:lvl>
    </w:lvlOverride>
  </w:num>
  <w:num w:numId="25">
    <w:abstractNumId w:val="19"/>
  </w:num>
  <w:num w:numId="26">
    <w:abstractNumId w:val="19"/>
    <w:lvlOverride w:ilvl="0">
      <w:lvl w:ilvl="0">
        <w:start w:val="1"/>
        <w:numFmt w:val="decimal"/>
        <w:lvlText w:val="%1"/>
        <w:lvlJc w:val="left"/>
        <w:pPr>
          <w:tabs>
            <w:tab w:val="num" w:pos="432"/>
          </w:tabs>
          <w:ind w:left="432" w:hanging="432"/>
        </w:pPr>
        <w:rPr>
          <w:rFonts w:cs="Times New Roman" w:hint="default"/>
        </w:rPr>
      </w:lvl>
    </w:lvlOverride>
    <w:lvlOverride w:ilvl="1">
      <w:lvl w:ilvl="1">
        <w:start w:val="1"/>
        <w:numFmt w:val="decimal"/>
        <w:lvlText w:val="%1.%2"/>
        <w:lvlJc w:val="left"/>
        <w:pPr>
          <w:tabs>
            <w:tab w:val="num" w:pos="576"/>
          </w:tabs>
          <w:ind w:left="576" w:hanging="576"/>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7">
    <w:abstractNumId w:val="24"/>
  </w:num>
  <w:num w:numId="28">
    <w:abstractNumId w:val="21"/>
  </w:num>
  <w:num w:numId="29">
    <w:abstractNumId w:val="10"/>
  </w:num>
  <w:num w:numId="30">
    <w:abstractNumId w:val="12"/>
  </w:num>
  <w:num w:numId="31">
    <w:abstractNumId w:val="7"/>
  </w:num>
  <w:num w:numId="32">
    <w:abstractNumId w:val="25"/>
  </w:num>
  <w:num w:numId="33">
    <w:abstractNumId w:val="6"/>
  </w:num>
  <w:num w:numId="34">
    <w:abstractNumId w:val="22"/>
  </w:num>
  <w:num w:numId="35">
    <w:abstractNumId w:val="26"/>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6047F"/>
    <w:rsid w:val="00061AF1"/>
    <w:rsid w:val="00067D5B"/>
    <w:rsid w:val="00071556"/>
    <w:rsid w:val="00081695"/>
    <w:rsid w:val="000862FA"/>
    <w:rsid w:val="00086EBF"/>
    <w:rsid w:val="00094826"/>
    <w:rsid w:val="000A2507"/>
    <w:rsid w:val="000B4F14"/>
    <w:rsid w:val="000D1FB8"/>
    <w:rsid w:val="000E36EE"/>
    <w:rsid w:val="001009D8"/>
    <w:rsid w:val="0010690F"/>
    <w:rsid w:val="00114835"/>
    <w:rsid w:val="00122D9C"/>
    <w:rsid w:val="00123503"/>
    <w:rsid w:val="00134253"/>
    <w:rsid w:val="001409CB"/>
    <w:rsid w:val="0014150F"/>
    <w:rsid w:val="0015705F"/>
    <w:rsid w:val="00161AC3"/>
    <w:rsid w:val="001657D5"/>
    <w:rsid w:val="001773CA"/>
    <w:rsid w:val="001D4BB8"/>
    <w:rsid w:val="001D69A2"/>
    <w:rsid w:val="001E202C"/>
    <w:rsid w:val="001E4A2F"/>
    <w:rsid w:val="001E6392"/>
    <w:rsid w:val="001F51D6"/>
    <w:rsid w:val="001F6AD4"/>
    <w:rsid w:val="001F7E99"/>
    <w:rsid w:val="00214C8C"/>
    <w:rsid w:val="00223EF4"/>
    <w:rsid w:val="002241A6"/>
    <w:rsid w:val="00224D2E"/>
    <w:rsid w:val="00233522"/>
    <w:rsid w:val="00233F79"/>
    <w:rsid w:val="00234AAC"/>
    <w:rsid w:val="0024057D"/>
    <w:rsid w:val="00250E05"/>
    <w:rsid w:val="00252009"/>
    <w:rsid w:val="00252528"/>
    <w:rsid w:val="00264C36"/>
    <w:rsid w:val="00266FEC"/>
    <w:rsid w:val="00281911"/>
    <w:rsid w:val="0028489B"/>
    <w:rsid w:val="002905D9"/>
    <w:rsid w:val="00294B28"/>
    <w:rsid w:val="002967CD"/>
    <w:rsid w:val="002A1BD7"/>
    <w:rsid w:val="002A255B"/>
    <w:rsid w:val="002B0845"/>
    <w:rsid w:val="002B3B62"/>
    <w:rsid w:val="002B692C"/>
    <w:rsid w:val="002D6095"/>
    <w:rsid w:val="002D7C48"/>
    <w:rsid w:val="00307668"/>
    <w:rsid w:val="00311537"/>
    <w:rsid w:val="00327BBF"/>
    <w:rsid w:val="003419DB"/>
    <w:rsid w:val="00341E5E"/>
    <w:rsid w:val="0035048C"/>
    <w:rsid w:val="0036226E"/>
    <w:rsid w:val="00372C0F"/>
    <w:rsid w:val="00375B7C"/>
    <w:rsid w:val="00381897"/>
    <w:rsid w:val="003875E2"/>
    <w:rsid w:val="003933A0"/>
    <w:rsid w:val="003A1B82"/>
    <w:rsid w:val="003B10D9"/>
    <w:rsid w:val="003B4CCE"/>
    <w:rsid w:val="003C37C3"/>
    <w:rsid w:val="003D0DB7"/>
    <w:rsid w:val="003D3FF4"/>
    <w:rsid w:val="003E2119"/>
    <w:rsid w:val="003E6054"/>
    <w:rsid w:val="003F2352"/>
    <w:rsid w:val="00433DC1"/>
    <w:rsid w:val="00444104"/>
    <w:rsid w:val="004502BC"/>
    <w:rsid w:val="00452283"/>
    <w:rsid w:val="00465E78"/>
    <w:rsid w:val="004762DB"/>
    <w:rsid w:val="00490EC1"/>
    <w:rsid w:val="004916A3"/>
    <w:rsid w:val="00495015"/>
    <w:rsid w:val="004A0039"/>
    <w:rsid w:val="004A1FAD"/>
    <w:rsid w:val="004A32ED"/>
    <w:rsid w:val="004B31E3"/>
    <w:rsid w:val="004C003C"/>
    <w:rsid w:val="004C27FF"/>
    <w:rsid w:val="004D653E"/>
    <w:rsid w:val="004E36C1"/>
    <w:rsid w:val="00511FD4"/>
    <w:rsid w:val="00526324"/>
    <w:rsid w:val="00531B0A"/>
    <w:rsid w:val="005414F7"/>
    <w:rsid w:val="0054334E"/>
    <w:rsid w:val="005439F5"/>
    <w:rsid w:val="00572341"/>
    <w:rsid w:val="005A3544"/>
    <w:rsid w:val="005C108A"/>
    <w:rsid w:val="005C3F57"/>
    <w:rsid w:val="005D2775"/>
    <w:rsid w:val="005E13FE"/>
    <w:rsid w:val="005E1A37"/>
    <w:rsid w:val="005F3215"/>
    <w:rsid w:val="005F48B2"/>
    <w:rsid w:val="005F5030"/>
    <w:rsid w:val="005F7206"/>
    <w:rsid w:val="00624503"/>
    <w:rsid w:val="00631923"/>
    <w:rsid w:val="0063238D"/>
    <w:rsid w:val="00645154"/>
    <w:rsid w:val="00654F9F"/>
    <w:rsid w:val="00657528"/>
    <w:rsid w:val="0068687D"/>
    <w:rsid w:val="006A71B0"/>
    <w:rsid w:val="006B644D"/>
    <w:rsid w:val="006C1826"/>
    <w:rsid w:val="007019C4"/>
    <w:rsid w:val="007068C4"/>
    <w:rsid w:val="00715987"/>
    <w:rsid w:val="007178B9"/>
    <w:rsid w:val="00717A37"/>
    <w:rsid w:val="0074535D"/>
    <w:rsid w:val="00776291"/>
    <w:rsid w:val="007769A7"/>
    <w:rsid w:val="00780CB1"/>
    <w:rsid w:val="0078145B"/>
    <w:rsid w:val="007A5254"/>
    <w:rsid w:val="007C6EED"/>
    <w:rsid w:val="007C7312"/>
    <w:rsid w:val="007E5075"/>
    <w:rsid w:val="00812678"/>
    <w:rsid w:val="00824672"/>
    <w:rsid w:val="00832753"/>
    <w:rsid w:val="00834466"/>
    <w:rsid w:val="00845165"/>
    <w:rsid w:val="00880A7A"/>
    <w:rsid w:val="008A769D"/>
    <w:rsid w:val="008B36E4"/>
    <w:rsid w:val="008C2AD0"/>
    <w:rsid w:val="008E2F0E"/>
    <w:rsid w:val="008F5E4E"/>
    <w:rsid w:val="009022BF"/>
    <w:rsid w:val="00921521"/>
    <w:rsid w:val="00941B42"/>
    <w:rsid w:val="009538E1"/>
    <w:rsid w:val="009614E2"/>
    <w:rsid w:val="00967803"/>
    <w:rsid w:val="00977ED8"/>
    <w:rsid w:val="00981204"/>
    <w:rsid w:val="00985A3D"/>
    <w:rsid w:val="00985B07"/>
    <w:rsid w:val="009918AB"/>
    <w:rsid w:val="009947E9"/>
    <w:rsid w:val="00994F7C"/>
    <w:rsid w:val="009B1BFF"/>
    <w:rsid w:val="009C1900"/>
    <w:rsid w:val="009D1A54"/>
    <w:rsid w:val="009D4C15"/>
    <w:rsid w:val="009E145D"/>
    <w:rsid w:val="009E20CD"/>
    <w:rsid w:val="009E2D54"/>
    <w:rsid w:val="009F0CF5"/>
    <w:rsid w:val="009F7651"/>
    <w:rsid w:val="00A0226B"/>
    <w:rsid w:val="00A11310"/>
    <w:rsid w:val="00A16CA3"/>
    <w:rsid w:val="00A27CCE"/>
    <w:rsid w:val="00A31C5A"/>
    <w:rsid w:val="00A36349"/>
    <w:rsid w:val="00A425E8"/>
    <w:rsid w:val="00A46D5A"/>
    <w:rsid w:val="00A51954"/>
    <w:rsid w:val="00A55BCA"/>
    <w:rsid w:val="00A61039"/>
    <w:rsid w:val="00A67B36"/>
    <w:rsid w:val="00A817C1"/>
    <w:rsid w:val="00A844F0"/>
    <w:rsid w:val="00AA11D2"/>
    <w:rsid w:val="00AA2325"/>
    <w:rsid w:val="00AB1BFA"/>
    <w:rsid w:val="00AB3906"/>
    <w:rsid w:val="00AC090C"/>
    <w:rsid w:val="00AD2748"/>
    <w:rsid w:val="00AF46B0"/>
    <w:rsid w:val="00B649E6"/>
    <w:rsid w:val="00B74455"/>
    <w:rsid w:val="00B7542D"/>
    <w:rsid w:val="00BB6F32"/>
    <w:rsid w:val="00BC16F1"/>
    <w:rsid w:val="00C00251"/>
    <w:rsid w:val="00C151C7"/>
    <w:rsid w:val="00C17FD4"/>
    <w:rsid w:val="00C20659"/>
    <w:rsid w:val="00C20F25"/>
    <w:rsid w:val="00C25123"/>
    <w:rsid w:val="00C25416"/>
    <w:rsid w:val="00C5217F"/>
    <w:rsid w:val="00C64AD9"/>
    <w:rsid w:val="00C8683E"/>
    <w:rsid w:val="00C91FB7"/>
    <w:rsid w:val="00CA163A"/>
    <w:rsid w:val="00CB0A16"/>
    <w:rsid w:val="00CB64AB"/>
    <w:rsid w:val="00CC3B9F"/>
    <w:rsid w:val="00CD1AFF"/>
    <w:rsid w:val="00CD5895"/>
    <w:rsid w:val="00CE6A53"/>
    <w:rsid w:val="00CF09C5"/>
    <w:rsid w:val="00CF2EB3"/>
    <w:rsid w:val="00D06B06"/>
    <w:rsid w:val="00D16972"/>
    <w:rsid w:val="00D47828"/>
    <w:rsid w:val="00D70F49"/>
    <w:rsid w:val="00DA672E"/>
    <w:rsid w:val="00DA75D1"/>
    <w:rsid w:val="00DB0E9F"/>
    <w:rsid w:val="00DB52AC"/>
    <w:rsid w:val="00DE1411"/>
    <w:rsid w:val="00DE743B"/>
    <w:rsid w:val="00DF5971"/>
    <w:rsid w:val="00DF7DAB"/>
    <w:rsid w:val="00E202B8"/>
    <w:rsid w:val="00E22CC2"/>
    <w:rsid w:val="00E271E7"/>
    <w:rsid w:val="00E37EAA"/>
    <w:rsid w:val="00E53049"/>
    <w:rsid w:val="00E66298"/>
    <w:rsid w:val="00E6764A"/>
    <w:rsid w:val="00E81009"/>
    <w:rsid w:val="00E83A93"/>
    <w:rsid w:val="00E952B7"/>
    <w:rsid w:val="00EA2E1C"/>
    <w:rsid w:val="00EB2257"/>
    <w:rsid w:val="00EB2A3F"/>
    <w:rsid w:val="00EC37C6"/>
    <w:rsid w:val="00EC4442"/>
    <w:rsid w:val="00ED3987"/>
    <w:rsid w:val="00ED6AE0"/>
    <w:rsid w:val="00EE16B0"/>
    <w:rsid w:val="00EE2253"/>
    <w:rsid w:val="00EE4D45"/>
    <w:rsid w:val="00EE7DF8"/>
    <w:rsid w:val="00F11B6F"/>
    <w:rsid w:val="00F1501A"/>
    <w:rsid w:val="00F22608"/>
    <w:rsid w:val="00F23F46"/>
    <w:rsid w:val="00F44BE5"/>
    <w:rsid w:val="00F5292B"/>
    <w:rsid w:val="00F61DC4"/>
    <w:rsid w:val="00F65452"/>
    <w:rsid w:val="00F75812"/>
    <w:rsid w:val="00F91E56"/>
    <w:rsid w:val="00F9313D"/>
    <w:rsid w:val="00FA7144"/>
    <w:rsid w:val="00FB1B59"/>
    <w:rsid w:val="00FB3DAE"/>
    <w:rsid w:val="00FB7764"/>
    <w:rsid w:val="00FC1B09"/>
    <w:rsid w:val="00FC7C5F"/>
    <w:rsid w:val="00FE4956"/>
    <w:rsid w:val="00FF4B74"/>
    <w:rsid w:val="00FF62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E2C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DA75D1"/>
    <w:pPr>
      <w:spacing w:before="120"/>
      <w:jc w:val="both"/>
    </w:pPr>
    <w:rPr>
      <w:sz w:val="24"/>
    </w:rPr>
  </w:style>
  <w:style w:type="paragraph" w:styleId="Heading1">
    <w:name w:val="heading 1"/>
    <w:basedOn w:val="Normal"/>
    <w:next w:val="Normal"/>
    <w:autoRedefine/>
    <w:qFormat/>
    <w:rsid w:val="009614E2"/>
    <w:pPr>
      <w:keepNext/>
      <w:numPr>
        <w:numId w:val="27"/>
      </w:numPr>
      <w:spacing w:before="240" w:after="60"/>
      <w:ind w:left="432"/>
      <w:outlineLvl w:val="0"/>
    </w:pPr>
    <w:rPr>
      <w:rFonts w:ascii="Arial" w:hAnsi="Arial"/>
      <w:b/>
      <w:kern w:val="28"/>
      <w:sz w:val="28"/>
    </w:rPr>
  </w:style>
  <w:style w:type="paragraph" w:styleId="Heading2">
    <w:name w:val="heading 2"/>
    <w:basedOn w:val="Normal"/>
    <w:next w:val="Normal"/>
    <w:qFormat/>
    <w:rsid w:val="00DA75D1"/>
    <w:pPr>
      <w:keepNext/>
      <w:numPr>
        <w:ilvl w:val="1"/>
        <w:numId w:val="27"/>
      </w:numPr>
      <w:spacing w:before="240" w:after="60"/>
      <w:outlineLvl w:val="1"/>
    </w:pPr>
    <w:rPr>
      <w:rFonts w:ascii="Arial" w:hAnsi="Arial"/>
      <w:b/>
      <w:sz w:val="26"/>
    </w:rPr>
  </w:style>
  <w:style w:type="paragraph" w:styleId="Heading3">
    <w:name w:val="heading 3"/>
    <w:basedOn w:val="Normal"/>
    <w:next w:val="Normal"/>
    <w:autoRedefine/>
    <w:qFormat/>
    <w:rsid w:val="00DA75D1"/>
    <w:pPr>
      <w:keepNext/>
      <w:numPr>
        <w:ilvl w:val="2"/>
        <w:numId w:val="27"/>
      </w:numPr>
      <w:spacing w:before="240" w:after="60"/>
      <w:outlineLvl w:val="2"/>
    </w:pPr>
    <w:rPr>
      <w:rFonts w:ascii="Arial" w:hAnsi="Arial"/>
      <w:b/>
    </w:rPr>
  </w:style>
  <w:style w:type="paragraph" w:styleId="Heading4">
    <w:name w:val="heading 4"/>
    <w:basedOn w:val="Normal"/>
    <w:next w:val="Normal"/>
    <w:autoRedefine/>
    <w:qFormat/>
    <w:rsid w:val="00DA75D1"/>
    <w:pPr>
      <w:keepNext/>
      <w:numPr>
        <w:ilvl w:val="3"/>
        <w:numId w:val="27"/>
      </w:numPr>
      <w:spacing w:before="240" w:after="60"/>
      <w:outlineLvl w:val="3"/>
    </w:pPr>
    <w:rPr>
      <w:rFonts w:ascii="Arial" w:hAnsi="Arial"/>
      <w:b/>
    </w:rPr>
  </w:style>
  <w:style w:type="paragraph" w:styleId="Heading5">
    <w:name w:val="heading 5"/>
    <w:basedOn w:val="Normal"/>
    <w:next w:val="Normal"/>
    <w:qFormat/>
    <w:rsid w:val="00DA75D1"/>
    <w:pPr>
      <w:keepNext/>
      <w:numPr>
        <w:ilvl w:val="4"/>
        <w:numId w:val="27"/>
      </w:numPr>
      <w:outlineLvl w:val="4"/>
    </w:pPr>
    <w:rPr>
      <w:b/>
    </w:rPr>
  </w:style>
  <w:style w:type="paragraph" w:styleId="Heading6">
    <w:name w:val="heading 6"/>
    <w:basedOn w:val="Normal"/>
    <w:next w:val="Normal"/>
    <w:qFormat/>
    <w:rsid w:val="00DA75D1"/>
    <w:pPr>
      <w:numPr>
        <w:ilvl w:val="5"/>
        <w:numId w:val="27"/>
      </w:numPr>
      <w:spacing w:before="240" w:after="60"/>
      <w:outlineLvl w:val="5"/>
    </w:pPr>
    <w:rPr>
      <w:i/>
      <w:sz w:val="22"/>
    </w:rPr>
  </w:style>
  <w:style w:type="paragraph" w:styleId="Heading7">
    <w:name w:val="heading 7"/>
    <w:basedOn w:val="Normal"/>
    <w:next w:val="Normal"/>
    <w:qFormat/>
    <w:rsid w:val="00DA75D1"/>
    <w:pPr>
      <w:numPr>
        <w:ilvl w:val="6"/>
        <w:numId w:val="27"/>
      </w:numPr>
      <w:spacing w:before="240" w:after="60"/>
      <w:outlineLvl w:val="6"/>
    </w:pPr>
    <w:rPr>
      <w:rFonts w:ascii="Arial" w:hAnsi="Arial"/>
      <w:sz w:val="20"/>
    </w:rPr>
  </w:style>
  <w:style w:type="paragraph" w:styleId="Heading8">
    <w:name w:val="heading 8"/>
    <w:basedOn w:val="Normal"/>
    <w:next w:val="Normal"/>
    <w:qFormat/>
    <w:rsid w:val="00DA75D1"/>
    <w:pPr>
      <w:numPr>
        <w:ilvl w:val="7"/>
        <w:numId w:val="27"/>
      </w:numPr>
      <w:spacing w:before="240" w:after="60"/>
      <w:outlineLvl w:val="7"/>
    </w:pPr>
    <w:rPr>
      <w:rFonts w:ascii="Arial" w:hAnsi="Arial"/>
      <w:i/>
      <w:sz w:val="20"/>
    </w:rPr>
  </w:style>
  <w:style w:type="paragraph" w:styleId="Heading9">
    <w:name w:val="heading 9"/>
    <w:basedOn w:val="Normal"/>
    <w:next w:val="Normal"/>
    <w:qFormat/>
    <w:rsid w:val="00DA75D1"/>
    <w:pPr>
      <w:numPr>
        <w:ilvl w:val="8"/>
        <w:numId w:val="2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75D1"/>
  </w:style>
  <w:style w:type="paragraph" w:styleId="DocumentMap">
    <w:name w:val="Document Map"/>
    <w:basedOn w:val="Normal"/>
    <w:semiHidden/>
    <w:rsid w:val="00DA75D1"/>
    <w:pPr>
      <w:shd w:val="clear" w:color="auto" w:fill="000080"/>
    </w:pPr>
    <w:rPr>
      <w:rFonts w:ascii="Tahoma" w:hAnsi="Tahoma"/>
    </w:rPr>
  </w:style>
  <w:style w:type="paragraph" w:customStyle="1" w:styleId="HTMLBody">
    <w:name w:val="HTML Body"/>
    <w:rsid w:val="00DA75D1"/>
    <w:rPr>
      <w:rFonts w:ascii="Courier New" w:hAnsi="Courier New"/>
    </w:rPr>
  </w:style>
  <w:style w:type="paragraph" w:styleId="ListNumber">
    <w:name w:val="List Number"/>
    <w:basedOn w:val="Normal"/>
    <w:rsid w:val="00DA75D1"/>
    <w:pPr>
      <w:numPr>
        <w:numId w:val="4"/>
      </w:numPr>
    </w:pPr>
  </w:style>
  <w:style w:type="paragraph" w:styleId="ListNumber2">
    <w:name w:val="List Number 2"/>
    <w:basedOn w:val="Normal"/>
    <w:rsid w:val="00DA75D1"/>
    <w:pPr>
      <w:numPr>
        <w:numId w:val="5"/>
      </w:numPr>
    </w:pPr>
  </w:style>
  <w:style w:type="paragraph" w:styleId="ListBullet">
    <w:name w:val="List Bullet"/>
    <w:basedOn w:val="Normal"/>
    <w:autoRedefine/>
    <w:rsid w:val="00DA75D1"/>
    <w:pPr>
      <w:numPr>
        <w:numId w:val="8"/>
      </w:numPr>
    </w:pPr>
  </w:style>
  <w:style w:type="paragraph" w:styleId="Caption">
    <w:name w:val="caption"/>
    <w:basedOn w:val="Normal"/>
    <w:next w:val="Normal"/>
    <w:qFormat/>
    <w:rsid w:val="00DA75D1"/>
    <w:pPr>
      <w:spacing w:after="120"/>
    </w:pPr>
    <w:rPr>
      <w:b/>
    </w:rPr>
  </w:style>
  <w:style w:type="paragraph" w:styleId="Footer">
    <w:name w:val="footer"/>
    <w:basedOn w:val="Normal"/>
    <w:rsid w:val="00DA75D1"/>
    <w:pPr>
      <w:tabs>
        <w:tab w:val="center" w:pos="4320"/>
        <w:tab w:val="right" w:pos="8640"/>
      </w:tabs>
    </w:pPr>
  </w:style>
  <w:style w:type="character" w:styleId="PageNumber">
    <w:name w:val="page number"/>
    <w:basedOn w:val="DefaultParagraphFont"/>
    <w:rsid w:val="00DA75D1"/>
    <w:rPr>
      <w:rFonts w:cs="Times New Roman"/>
    </w:rPr>
  </w:style>
  <w:style w:type="paragraph" w:styleId="Header">
    <w:name w:val="header"/>
    <w:basedOn w:val="Normal"/>
    <w:rsid w:val="00DA75D1"/>
    <w:pPr>
      <w:tabs>
        <w:tab w:val="center" w:pos="4320"/>
        <w:tab w:val="right" w:pos="8640"/>
      </w:tabs>
    </w:pPr>
  </w:style>
  <w:style w:type="paragraph" w:styleId="BodyText">
    <w:name w:val="Body Text"/>
    <w:basedOn w:val="Normal"/>
    <w:rsid w:val="00DA75D1"/>
    <w:pPr>
      <w:jc w:val="center"/>
    </w:pPr>
    <w:rPr>
      <w:rFonts w:ascii="Times" w:hAnsi="Times"/>
      <w:sz w:val="40"/>
    </w:rPr>
  </w:style>
  <w:style w:type="paragraph" w:styleId="TableofFigures">
    <w:name w:val="table of figures"/>
    <w:basedOn w:val="Normal"/>
    <w:next w:val="Normal"/>
    <w:semiHidden/>
    <w:rsid w:val="00DA75D1"/>
    <w:pPr>
      <w:spacing w:before="0"/>
      <w:jc w:val="left"/>
    </w:pPr>
    <w:rPr>
      <w:i/>
      <w:iCs/>
      <w:szCs w:val="24"/>
    </w:rPr>
  </w:style>
  <w:style w:type="character" w:styleId="Hyperlink">
    <w:name w:val="Hyperlink"/>
    <w:basedOn w:val="DefaultParagraphFont"/>
    <w:rsid w:val="00DA75D1"/>
    <w:rPr>
      <w:rFonts w:cs="Times New Roman"/>
      <w:color w:val="0000FF"/>
      <w:u w:val="single"/>
    </w:rPr>
  </w:style>
  <w:style w:type="paragraph" w:styleId="TOC1">
    <w:name w:val="toc 1"/>
    <w:basedOn w:val="Normal"/>
    <w:next w:val="Normal"/>
    <w:autoRedefine/>
    <w:semiHidden/>
    <w:rsid w:val="00DA75D1"/>
    <w:pPr>
      <w:jc w:val="left"/>
    </w:pPr>
    <w:rPr>
      <w:b/>
      <w:bCs/>
      <w:i/>
      <w:iCs/>
      <w:szCs w:val="28"/>
    </w:rPr>
  </w:style>
  <w:style w:type="paragraph" w:styleId="TOC2">
    <w:name w:val="toc 2"/>
    <w:basedOn w:val="Normal"/>
    <w:next w:val="Normal"/>
    <w:autoRedefine/>
    <w:semiHidden/>
    <w:rsid w:val="00DA75D1"/>
    <w:pPr>
      <w:ind w:left="240"/>
      <w:jc w:val="left"/>
    </w:pPr>
    <w:rPr>
      <w:b/>
      <w:bCs/>
      <w:szCs w:val="26"/>
    </w:rPr>
  </w:style>
  <w:style w:type="paragraph" w:styleId="TOC3">
    <w:name w:val="toc 3"/>
    <w:basedOn w:val="Normal"/>
    <w:next w:val="Normal"/>
    <w:autoRedefine/>
    <w:semiHidden/>
    <w:rsid w:val="00DA75D1"/>
    <w:pPr>
      <w:spacing w:before="0"/>
      <w:ind w:left="480"/>
      <w:jc w:val="left"/>
    </w:pPr>
    <w:rPr>
      <w:szCs w:val="24"/>
    </w:rPr>
  </w:style>
  <w:style w:type="paragraph" w:styleId="TOC4">
    <w:name w:val="toc 4"/>
    <w:basedOn w:val="Normal"/>
    <w:next w:val="Normal"/>
    <w:autoRedefine/>
    <w:semiHidden/>
    <w:rsid w:val="00DA75D1"/>
    <w:pPr>
      <w:spacing w:before="0"/>
      <w:ind w:left="720"/>
      <w:jc w:val="left"/>
    </w:pPr>
    <w:rPr>
      <w:szCs w:val="24"/>
    </w:rPr>
  </w:style>
  <w:style w:type="paragraph" w:styleId="TOC5">
    <w:name w:val="toc 5"/>
    <w:basedOn w:val="Normal"/>
    <w:next w:val="Normal"/>
    <w:autoRedefine/>
    <w:semiHidden/>
    <w:rsid w:val="00DA75D1"/>
    <w:pPr>
      <w:spacing w:before="0"/>
      <w:ind w:left="960"/>
      <w:jc w:val="left"/>
    </w:pPr>
    <w:rPr>
      <w:szCs w:val="24"/>
    </w:rPr>
  </w:style>
  <w:style w:type="paragraph" w:styleId="TOC6">
    <w:name w:val="toc 6"/>
    <w:basedOn w:val="Normal"/>
    <w:next w:val="Normal"/>
    <w:autoRedefine/>
    <w:semiHidden/>
    <w:rsid w:val="00DA75D1"/>
    <w:pPr>
      <w:spacing w:before="0"/>
      <w:ind w:left="1200"/>
      <w:jc w:val="left"/>
    </w:pPr>
    <w:rPr>
      <w:szCs w:val="24"/>
    </w:rPr>
  </w:style>
  <w:style w:type="paragraph" w:styleId="TOC7">
    <w:name w:val="toc 7"/>
    <w:basedOn w:val="Normal"/>
    <w:next w:val="Normal"/>
    <w:autoRedefine/>
    <w:semiHidden/>
    <w:rsid w:val="00DA75D1"/>
    <w:pPr>
      <w:spacing w:before="0"/>
      <w:ind w:left="1440"/>
      <w:jc w:val="left"/>
    </w:pPr>
    <w:rPr>
      <w:szCs w:val="24"/>
    </w:rPr>
  </w:style>
  <w:style w:type="paragraph" w:styleId="TOC8">
    <w:name w:val="toc 8"/>
    <w:basedOn w:val="Normal"/>
    <w:next w:val="Normal"/>
    <w:autoRedefine/>
    <w:semiHidden/>
    <w:rsid w:val="00DA75D1"/>
    <w:pPr>
      <w:spacing w:before="0"/>
      <w:ind w:left="1680"/>
      <w:jc w:val="left"/>
    </w:pPr>
    <w:rPr>
      <w:szCs w:val="24"/>
    </w:rPr>
  </w:style>
  <w:style w:type="paragraph" w:styleId="TOC9">
    <w:name w:val="toc 9"/>
    <w:basedOn w:val="Normal"/>
    <w:next w:val="Normal"/>
    <w:autoRedefine/>
    <w:semiHidden/>
    <w:rsid w:val="00DA75D1"/>
    <w:pPr>
      <w:spacing w:before="0"/>
      <w:ind w:left="1920"/>
      <w:jc w:val="left"/>
    </w:pPr>
    <w:rPr>
      <w:szCs w:val="24"/>
    </w:rPr>
  </w:style>
  <w:style w:type="paragraph" w:styleId="FootnoteText">
    <w:name w:val="footnote text"/>
    <w:basedOn w:val="Normal"/>
    <w:semiHidden/>
    <w:rsid w:val="00DA75D1"/>
    <w:rPr>
      <w:sz w:val="20"/>
    </w:rPr>
  </w:style>
  <w:style w:type="character" w:styleId="FootnoteReference">
    <w:name w:val="footnote reference"/>
    <w:basedOn w:val="DefaultParagraphFont"/>
    <w:semiHidden/>
    <w:rsid w:val="00DA75D1"/>
    <w:rPr>
      <w:rFonts w:cs="Times New Roman"/>
      <w:vertAlign w:val="superscript"/>
    </w:rPr>
  </w:style>
  <w:style w:type="paragraph" w:styleId="ListParagraph">
    <w:name w:val="List Paragraph"/>
    <w:basedOn w:val="Normal"/>
    <w:qFormat/>
    <w:rsid w:val="00A46D5A"/>
    <w:pPr>
      <w:ind w:left="720"/>
    </w:pPr>
  </w:style>
  <w:style w:type="table" w:customStyle="1" w:styleId="MediumGrid3-Accent31">
    <w:name w:val="Medium Grid 3 - Accent 31"/>
    <w:rsid w:val="00CF09C5"/>
    <w:rPr>
      <w:rFonts w:ascii="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Grid">
    <w:name w:val="Table Grid"/>
    <w:basedOn w:val="TableNormal"/>
    <w:rsid w:val="00CF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rsid w:val="00B74455"/>
    <w:rPr>
      <w:rFonts w:ascii="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rsid w:val="00F75812"/>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styleId="FollowedHyperlink">
    <w:name w:val="FollowedHyperlink"/>
    <w:basedOn w:val="DefaultParagraphFont"/>
    <w:rsid w:val="00C25416"/>
    <w:rPr>
      <w:color w:val="800080" w:themeColor="followedHyperlink"/>
      <w:u w:val="single"/>
    </w:rPr>
  </w:style>
  <w:style w:type="paragraph" w:styleId="BalloonText">
    <w:name w:val="Balloon Text"/>
    <w:basedOn w:val="Normal"/>
    <w:link w:val="BalloonTextChar"/>
    <w:semiHidden/>
    <w:unhideWhenUsed/>
    <w:rsid w:val="00264C3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264C36"/>
    <w:rPr>
      <w:rFonts w:ascii="Lucida Grande" w:hAnsi="Lucida Grande" w:cs="Lucida Grande"/>
      <w:sz w:val="18"/>
      <w:szCs w:val="18"/>
    </w:rPr>
  </w:style>
  <w:style w:type="character" w:styleId="CommentReference">
    <w:name w:val="annotation reference"/>
    <w:basedOn w:val="DefaultParagraphFont"/>
    <w:semiHidden/>
    <w:unhideWhenUsed/>
    <w:rsid w:val="00264C36"/>
    <w:rPr>
      <w:sz w:val="18"/>
      <w:szCs w:val="18"/>
    </w:rPr>
  </w:style>
  <w:style w:type="paragraph" w:styleId="CommentText">
    <w:name w:val="annotation text"/>
    <w:basedOn w:val="Normal"/>
    <w:link w:val="CommentTextChar"/>
    <w:semiHidden/>
    <w:unhideWhenUsed/>
    <w:rsid w:val="00264C36"/>
    <w:rPr>
      <w:szCs w:val="24"/>
    </w:rPr>
  </w:style>
  <w:style w:type="character" w:customStyle="1" w:styleId="CommentTextChar">
    <w:name w:val="Comment Text Char"/>
    <w:basedOn w:val="DefaultParagraphFont"/>
    <w:link w:val="CommentText"/>
    <w:semiHidden/>
    <w:rsid w:val="00264C36"/>
    <w:rPr>
      <w:sz w:val="24"/>
      <w:szCs w:val="24"/>
    </w:rPr>
  </w:style>
  <w:style w:type="paragraph" w:styleId="CommentSubject">
    <w:name w:val="annotation subject"/>
    <w:basedOn w:val="CommentText"/>
    <w:next w:val="CommentText"/>
    <w:link w:val="CommentSubjectChar"/>
    <w:semiHidden/>
    <w:unhideWhenUsed/>
    <w:rsid w:val="00264C36"/>
    <w:rPr>
      <w:b/>
      <w:bCs/>
      <w:sz w:val="20"/>
      <w:szCs w:val="20"/>
    </w:rPr>
  </w:style>
  <w:style w:type="character" w:customStyle="1" w:styleId="CommentSubjectChar">
    <w:name w:val="Comment Subject Char"/>
    <w:basedOn w:val="CommentTextChar"/>
    <w:link w:val="CommentSubject"/>
    <w:semiHidden/>
    <w:rsid w:val="00264C36"/>
    <w:rPr>
      <w:b/>
      <w:bCs/>
      <w:sz w:val="24"/>
      <w:szCs w:val="24"/>
    </w:rPr>
  </w:style>
  <w:style w:type="paragraph" w:styleId="Revision">
    <w:name w:val="Revision"/>
    <w:hidden/>
    <w:semiHidden/>
    <w:rsid w:val="00AD2748"/>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DA75D1"/>
    <w:pPr>
      <w:spacing w:before="120"/>
      <w:jc w:val="both"/>
    </w:pPr>
    <w:rPr>
      <w:sz w:val="24"/>
    </w:rPr>
  </w:style>
  <w:style w:type="paragraph" w:styleId="Heading1">
    <w:name w:val="heading 1"/>
    <w:basedOn w:val="Normal"/>
    <w:next w:val="Normal"/>
    <w:autoRedefine/>
    <w:qFormat/>
    <w:rsid w:val="009614E2"/>
    <w:pPr>
      <w:keepNext/>
      <w:numPr>
        <w:numId w:val="27"/>
      </w:numPr>
      <w:spacing w:before="240" w:after="60"/>
      <w:ind w:left="432"/>
      <w:outlineLvl w:val="0"/>
    </w:pPr>
    <w:rPr>
      <w:rFonts w:ascii="Arial" w:hAnsi="Arial"/>
      <w:b/>
      <w:kern w:val="28"/>
      <w:sz w:val="28"/>
    </w:rPr>
  </w:style>
  <w:style w:type="paragraph" w:styleId="Heading2">
    <w:name w:val="heading 2"/>
    <w:basedOn w:val="Normal"/>
    <w:next w:val="Normal"/>
    <w:qFormat/>
    <w:rsid w:val="00DA75D1"/>
    <w:pPr>
      <w:keepNext/>
      <w:numPr>
        <w:ilvl w:val="1"/>
        <w:numId w:val="27"/>
      </w:numPr>
      <w:spacing w:before="240" w:after="60"/>
      <w:outlineLvl w:val="1"/>
    </w:pPr>
    <w:rPr>
      <w:rFonts w:ascii="Arial" w:hAnsi="Arial"/>
      <w:b/>
      <w:sz w:val="26"/>
    </w:rPr>
  </w:style>
  <w:style w:type="paragraph" w:styleId="Heading3">
    <w:name w:val="heading 3"/>
    <w:basedOn w:val="Normal"/>
    <w:next w:val="Normal"/>
    <w:autoRedefine/>
    <w:qFormat/>
    <w:rsid w:val="00DA75D1"/>
    <w:pPr>
      <w:keepNext/>
      <w:numPr>
        <w:ilvl w:val="2"/>
        <w:numId w:val="27"/>
      </w:numPr>
      <w:spacing w:before="240" w:after="60"/>
      <w:outlineLvl w:val="2"/>
    </w:pPr>
    <w:rPr>
      <w:rFonts w:ascii="Arial" w:hAnsi="Arial"/>
      <w:b/>
    </w:rPr>
  </w:style>
  <w:style w:type="paragraph" w:styleId="Heading4">
    <w:name w:val="heading 4"/>
    <w:basedOn w:val="Normal"/>
    <w:next w:val="Normal"/>
    <w:autoRedefine/>
    <w:qFormat/>
    <w:rsid w:val="00DA75D1"/>
    <w:pPr>
      <w:keepNext/>
      <w:numPr>
        <w:ilvl w:val="3"/>
        <w:numId w:val="27"/>
      </w:numPr>
      <w:spacing w:before="240" w:after="60"/>
      <w:outlineLvl w:val="3"/>
    </w:pPr>
    <w:rPr>
      <w:rFonts w:ascii="Arial" w:hAnsi="Arial"/>
      <w:b/>
    </w:rPr>
  </w:style>
  <w:style w:type="paragraph" w:styleId="Heading5">
    <w:name w:val="heading 5"/>
    <w:basedOn w:val="Normal"/>
    <w:next w:val="Normal"/>
    <w:qFormat/>
    <w:rsid w:val="00DA75D1"/>
    <w:pPr>
      <w:keepNext/>
      <w:numPr>
        <w:ilvl w:val="4"/>
        <w:numId w:val="27"/>
      </w:numPr>
      <w:outlineLvl w:val="4"/>
    </w:pPr>
    <w:rPr>
      <w:b/>
    </w:rPr>
  </w:style>
  <w:style w:type="paragraph" w:styleId="Heading6">
    <w:name w:val="heading 6"/>
    <w:basedOn w:val="Normal"/>
    <w:next w:val="Normal"/>
    <w:qFormat/>
    <w:rsid w:val="00DA75D1"/>
    <w:pPr>
      <w:numPr>
        <w:ilvl w:val="5"/>
        <w:numId w:val="27"/>
      </w:numPr>
      <w:spacing w:before="240" w:after="60"/>
      <w:outlineLvl w:val="5"/>
    </w:pPr>
    <w:rPr>
      <w:i/>
      <w:sz w:val="22"/>
    </w:rPr>
  </w:style>
  <w:style w:type="paragraph" w:styleId="Heading7">
    <w:name w:val="heading 7"/>
    <w:basedOn w:val="Normal"/>
    <w:next w:val="Normal"/>
    <w:qFormat/>
    <w:rsid w:val="00DA75D1"/>
    <w:pPr>
      <w:numPr>
        <w:ilvl w:val="6"/>
        <w:numId w:val="27"/>
      </w:numPr>
      <w:spacing w:before="240" w:after="60"/>
      <w:outlineLvl w:val="6"/>
    </w:pPr>
    <w:rPr>
      <w:rFonts w:ascii="Arial" w:hAnsi="Arial"/>
      <w:sz w:val="20"/>
    </w:rPr>
  </w:style>
  <w:style w:type="paragraph" w:styleId="Heading8">
    <w:name w:val="heading 8"/>
    <w:basedOn w:val="Normal"/>
    <w:next w:val="Normal"/>
    <w:qFormat/>
    <w:rsid w:val="00DA75D1"/>
    <w:pPr>
      <w:numPr>
        <w:ilvl w:val="7"/>
        <w:numId w:val="27"/>
      </w:numPr>
      <w:spacing w:before="240" w:after="60"/>
      <w:outlineLvl w:val="7"/>
    </w:pPr>
    <w:rPr>
      <w:rFonts w:ascii="Arial" w:hAnsi="Arial"/>
      <w:i/>
      <w:sz w:val="20"/>
    </w:rPr>
  </w:style>
  <w:style w:type="paragraph" w:styleId="Heading9">
    <w:name w:val="heading 9"/>
    <w:basedOn w:val="Normal"/>
    <w:next w:val="Normal"/>
    <w:qFormat/>
    <w:rsid w:val="00DA75D1"/>
    <w:pPr>
      <w:numPr>
        <w:ilvl w:val="8"/>
        <w:numId w:val="2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75D1"/>
  </w:style>
  <w:style w:type="paragraph" w:styleId="DocumentMap">
    <w:name w:val="Document Map"/>
    <w:basedOn w:val="Normal"/>
    <w:semiHidden/>
    <w:rsid w:val="00DA75D1"/>
    <w:pPr>
      <w:shd w:val="clear" w:color="auto" w:fill="000080"/>
    </w:pPr>
    <w:rPr>
      <w:rFonts w:ascii="Tahoma" w:hAnsi="Tahoma"/>
    </w:rPr>
  </w:style>
  <w:style w:type="paragraph" w:customStyle="1" w:styleId="HTMLBody">
    <w:name w:val="HTML Body"/>
    <w:rsid w:val="00DA75D1"/>
    <w:rPr>
      <w:rFonts w:ascii="Courier New" w:hAnsi="Courier New"/>
    </w:rPr>
  </w:style>
  <w:style w:type="paragraph" w:styleId="ListNumber">
    <w:name w:val="List Number"/>
    <w:basedOn w:val="Normal"/>
    <w:rsid w:val="00DA75D1"/>
    <w:pPr>
      <w:numPr>
        <w:numId w:val="4"/>
      </w:numPr>
    </w:pPr>
  </w:style>
  <w:style w:type="paragraph" w:styleId="ListNumber2">
    <w:name w:val="List Number 2"/>
    <w:basedOn w:val="Normal"/>
    <w:rsid w:val="00DA75D1"/>
    <w:pPr>
      <w:numPr>
        <w:numId w:val="5"/>
      </w:numPr>
    </w:pPr>
  </w:style>
  <w:style w:type="paragraph" w:styleId="ListBullet">
    <w:name w:val="List Bullet"/>
    <w:basedOn w:val="Normal"/>
    <w:autoRedefine/>
    <w:rsid w:val="00DA75D1"/>
    <w:pPr>
      <w:numPr>
        <w:numId w:val="8"/>
      </w:numPr>
    </w:pPr>
  </w:style>
  <w:style w:type="paragraph" w:styleId="Caption">
    <w:name w:val="caption"/>
    <w:basedOn w:val="Normal"/>
    <w:next w:val="Normal"/>
    <w:qFormat/>
    <w:rsid w:val="00DA75D1"/>
    <w:pPr>
      <w:spacing w:after="120"/>
    </w:pPr>
    <w:rPr>
      <w:b/>
    </w:rPr>
  </w:style>
  <w:style w:type="paragraph" w:styleId="Footer">
    <w:name w:val="footer"/>
    <w:basedOn w:val="Normal"/>
    <w:rsid w:val="00DA75D1"/>
    <w:pPr>
      <w:tabs>
        <w:tab w:val="center" w:pos="4320"/>
        <w:tab w:val="right" w:pos="8640"/>
      </w:tabs>
    </w:pPr>
  </w:style>
  <w:style w:type="character" w:styleId="PageNumber">
    <w:name w:val="page number"/>
    <w:basedOn w:val="DefaultParagraphFont"/>
    <w:rsid w:val="00DA75D1"/>
    <w:rPr>
      <w:rFonts w:cs="Times New Roman"/>
    </w:rPr>
  </w:style>
  <w:style w:type="paragraph" w:styleId="Header">
    <w:name w:val="header"/>
    <w:basedOn w:val="Normal"/>
    <w:rsid w:val="00DA75D1"/>
    <w:pPr>
      <w:tabs>
        <w:tab w:val="center" w:pos="4320"/>
        <w:tab w:val="right" w:pos="8640"/>
      </w:tabs>
    </w:pPr>
  </w:style>
  <w:style w:type="paragraph" w:styleId="BodyText">
    <w:name w:val="Body Text"/>
    <w:basedOn w:val="Normal"/>
    <w:rsid w:val="00DA75D1"/>
    <w:pPr>
      <w:jc w:val="center"/>
    </w:pPr>
    <w:rPr>
      <w:rFonts w:ascii="Times" w:hAnsi="Times"/>
      <w:sz w:val="40"/>
    </w:rPr>
  </w:style>
  <w:style w:type="paragraph" w:styleId="TableofFigures">
    <w:name w:val="table of figures"/>
    <w:basedOn w:val="Normal"/>
    <w:next w:val="Normal"/>
    <w:semiHidden/>
    <w:rsid w:val="00DA75D1"/>
    <w:pPr>
      <w:spacing w:before="0"/>
      <w:jc w:val="left"/>
    </w:pPr>
    <w:rPr>
      <w:i/>
      <w:iCs/>
      <w:szCs w:val="24"/>
    </w:rPr>
  </w:style>
  <w:style w:type="character" w:styleId="Hyperlink">
    <w:name w:val="Hyperlink"/>
    <w:basedOn w:val="DefaultParagraphFont"/>
    <w:rsid w:val="00DA75D1"/>
    <w:rPr>
      <w:rFonts w:cs="Times New Roman"/>
      <w:color w:val="0000FF"/>
      <w:u w:val="single"/>
    </w:rPr>
  </w:style>
  <w:style w:type="paragraph" w:styleId="TOC1">
    <w:name w:val="toc 1"/>
    <w:basedOn w:val="Normal"/>
    <w:next w:val="Normal"/>
    <w:autoRedefine/>
    <w:semiHidden/>
    <w:rsid w:val="00DA75D1"/>
    <w:pPr>
      <w:jc w:val="left"/>
    </w:pPr>
    <w:rPr>
      <w:b/>
      <w:bCs/>
      <w:i/>
      <w:iCs/>
      <w:szCs w:val="28"/>
    </w:rPr>
  </w:style>
  <w:style w:type="paragraph" w:styleId="TOC2">
    <w:name w:val="toc 2"/>
    <w:basedOn w:val="Normal"/>
    <w:next w:val="Normal"/>
    <w:autoRedefine/>
    <w:semiHidden/>
    <w:rsid w:val="00DA75D1"/>
    <w:pPr>
      <w:ind w:left="240"/>
      <w:jc w:val="left"/>
    </w:pPr>
    <w:rPr>
      <w:b/>
      <w:bCs/>
      <w:szCs w:val="26"/>
    </w:rPr>
  </w:style>
  <w:style w:type="paragraph" w:styleId="TOC3">
    <w:name w:val="toc 3"/>
    <w:basedOn w:val="Normal"/>
    <w:next w:val="Normal"/>
    <w:autoRedefine/>
    <w:semiHidden/>
    <w:rsid w:val="00DA75D1"/>
    <w:pPr>
      <w:spacing w:before="0"/>
      <w:ind w:left="480"/>
      <w:jc w:val="left"/>
    </w:pPr>
    <w:rPr>
      <w:szCs w:val="24"/>
    </w:rPr>
  </w:style>
  <w:style w:type="paragraph" w:styleId="TOC4">
    <w:name w:val="toc 4"/>
    <w:basedOn w:val="Normal"/>
    <w:next w:val="Normal"/>
    <w:autoRedefine/>
    <w:semiHidden/>
    <w:rsid w:val="00DA75D1"/>
    <w:pPr>
      <w:spacing w:before="0"/>
      <w:ind w:left="720"/>
      <w:jc w:val="left"/>
    </w:pPr>
    <w:rPr>
      <w:szCs w:val="24"/>
    </w:rPr>
  </w:style>
  <w:style w:type="paragraph" w:styleId="TOC5">
    <w:name w:val="toc 5"/>
    <w:basedOn w:val="Normal"/>
    <w:next w:val="Normal"/>
    <w:autoRedefine/>
    <w:semiHidden/>
    <w:rsid w:val="00DA75D1"/>
    <w:pPr>
      <w:spacing w:before="0"/>
      <w:ind w:left="960"/>
      <w:jc w:val="left"/>
    </w:pPr>
    <w:rPr>
      <w:szCs w:val="24"/>
    </w:rPr>
  </w:style>
  <w:style w:type="paragraph" w:styleId="TOC6">
    <w:name w:val="toc 6"/>
    <w:basedOn w:val="Normal"/>
    <w:next w:val="Normal"/>
    <w:autoRedefine/>
    <w:semiHidden/>
    <w:rsid w:val="00DA75D1"/>
    <w:pPr>
      <w:spacing w:before="0"/>
      <w:ind w:left="1200"/>
      <w:jc w:val="left"/>
    </w:pPr>
    <w:rPr>
      <w:szCs w:val="24"/>
    </w:rPr>
  </w:style>
  <w:style w:type="paragraph" w:styleId="TOC7">
    <w:name w:val="toc 7"/>
    <w:basedOn w:val="Normal"/>
    <w:next w:val="Normal"/>
    <w:autoRedefine/>
    <w:semiHidden/>
    <w:rsid w:val="00DA75D1"/>
    <w:pPr>
      <w:spacing w:before="0"/>
      <w:ind w:left="1440"/>
      <w:jc w:val="left"/>
    </w:pPr>
    <w:rPr>
      <w:szCs w:val="24"/>
    </w:rPr>
  </w:style>
  <w:style w:type="paragraph" w:styleId="TOC8">
    <w:name w:val="toc 8"/>
    <w:basedOn w:val="Normal"/>
    <w:next w:val="Normal"/>
    <w:autoRedefine/>
    <w:semiHidden/>
    <w:rsid w:val="00DA75D1"/>
    <w:pPr>
      <w:spacing w:before="0"/>
      <w:ind w:left="1680"/>
      <w:jc w:val="left"/>
    </w:pPr>
    <w:rPr>
      <w:szCs w:val="24"/>
    </w:rPr>
  </w:style>
  <w:style w:type="paragraph" w:styleId="TOC9">
    <w:name w:val="toc 9"/>
    <w:basedOn w:val="Normal"/>
    <w:next w:val="Normal"/>
    <w:autoRedefine/>
    <w:semiHidden/>
    <w:rsid w:val="00DA75D1"/>
    <w:pPr>
      <w:spacing w:before="0"/>
      <w:ind w:left="1920"/>
      <w:jc w:val="left"/>
    </w:pPr>
    <w:rPr>
      <w:szCs w:val="24"/>
    </w:rPr>
  </w:style>
  <w:style w:type="paragraph" w:styleId="FootnoteText">
    <w:name w:val="footnote text"/>
    <w:basedOn w:val="Normal"/>
    <w:semiHidden/>
    <w:rsid w:val="00DA75D1"/>
    <w:rPr>
      <w:sz w:val="20"/>
    </w:rPr>
  </w:style>
  <w:style w:type="character" w:styleId="FootnoteReference">
    <w:name w:val="footnote reference"/>
    <w:basedOn w:val="DefaultParagraphFont"/>
    <w:semiHidden/>
    <w:rsid w:val="00DA75D1"/>
    <w:rPr>
      <w:rFonts w:cs="Times New Roman"/>
      <w:vertAlign w:val="superscript"/>
    </w:rPr>
  </w:style>
  <w:style w:type="paragraph" w:styleId="ListParagraph">
    <w:name w:val="List Paragraph"/>
    <w:basedOn w:val="Normal"/>
    <w:qFormat/>
    <w:rsid w:val="00A46D5A"/>
    <w:pPr>
      <w:ind w:left="720"/>
    </w:pPr>
  </w:style>
  <w:style w:type="table" w:customStyle="1" w:styleId="MediumGrid3-Accent31">
    <w:name w:val="Medium Grid 3 - Accent 31"/>
    <w:rsid w:val="00CF09C5"/>
    <w:rPr>
      <w:rFonts w:ascii="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Grid">
    <w:name w:val="Table Grid"/>
    <w:basedOn w:val="TableNormal"/>
    <w:rsid w:val="00CF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rsid w:val="00B74455"/>
    <w:rPr>
      <w:rFonts w:ascii="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rsid w:val="00F75812"/>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styleId="FollowedHyperlink">
    <w:name w:val="FollowedHyperlink"/>
    <w:basedOn w:val="DefaultParagraphFont"/>
    <w:rsid w:val="00C25416"/>
    <w:rPr>
      <w:color w:val="800080" w:themeColor="followedHyperlink"/>
      <w:u w:val="single"/>
    </w:rPr>
  </w:style>
  <w:style w:type="paragraph" w:styleId="BalloonText">
    <w:name w:val="Balloon Text"/>
    <w:basedOn w:val="Normal"/>
    <w:link w:val="BalloonTextChar"/>
    <w:semiHidden/>
    <w:unhideWhenUsed/>
    <w:rsid w:val="00264C3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264C36"/>
    <w:rPr>
      <w:rFonts w:ascii="Lucida Grande" w:hAnsi="Lucida Grande" w:cs="Lucida Grande"/>
      <w:sz w:val="18"/>
      <w:szCs w:val="18"/>
    </w:rPr>
  </w:style>
  <w:style w:type="character" w:styleId="CommentReference">
    <w:name w:val="annotation reference"/>
    <w:basedOn w:val="DefaultParagraphFont"/>
    <w:semiHidden/>
    <w:unhideWhenUsed/>
    <w:rsid w:val="00264C36"/>
    <w:rPr>
      <w:sz w:val="18"/>
      <w:szCs w:val="18"/>
    </w:rPr>
  </w:style>
  <w:style w:type="paragraph" w:styleId="CommentText">
    <w:name w:val="annotation text"/>
    <w:basedOn w:val="Normal"/>
    <w:link w:val="CommentTextChar"/>
    <w:semiHidden/>
    <w:unhideWhenUsed/>
    <w:rsid w:val="00264C36"/>
    <w:rPr>
      <w:szCs w:val="24"/>
    </w:rPr>
  </w:style>
  <w:style w:type="character" w:customStyle="1" w:styleId="CommentTextChar">
    <w:name w:val="Comment Text Char"/>
    <w:basedOn w:val="DefaultParagraphFont"/>
    <w:link w:val="CommentText"/>
    <w:semiHidden/>
    <w:rsid w:val="00264C36"/>
    <w:rPr>
      <w:sz w:val="24"/>
      <w:szCs w:val="24"/>
    </w:rPr>
  </w:style>
  <w:style w:type="paragraph" w:styleId="CommentSubject">
    <w:name w:val="annotation subject"/>
    <w:basedOn w:val="CommentText"/>
    <w:next w:val="CommentText"/>
    <w:link w:val="CommentSubjectChar"/>
    <w:semiHidden/>
    <w:unhideWhenUsed/>
    <w:rsid w:val="00264C36"/>
    <w:rPr>
      <w:b/>
      <w:bCs/>
      <w:sz w:val="20"/>
      <w:szCs w:val="20"/>
    </w:rPr>
  </w:style>
  <w:style w:type="character" w:customStyle="1" w:styleId="CommentSubjectChar">
    <w:name w:val="Comment Subject Char"/>
    <w:basedOn w:val="CommentTextChar"/>
    <w:link w:val="CommentSubject"/>
    <w:semiHidden/>
    <w:rsid w:val="00264C36"/>
    <w:rPr>
      <w:b/>
      <w:bCs/>
      <w:sz w:val="24"/>
      <w:szCs w:val="24"/>
    </w:rPr>
  </w:style>
  <w:style w:type="paragraph" w:styleId="Revision">
    <w:name w:val="Revision"/>
    <w:hidden/>
    <w:semiHidden/>
    <w:rsid w:val="00AD27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3739">
      <w:bodyDiv w:val="1"/>
      <w:marLeft w:val="0"/>
      <w:marRight w:val="0"/>
      <w:marTop w:val="0"/>
      <w:marBottom w:val="0"/>
      <w:divBdr>
        <w:top w:val="none" w:sz="0" w:space="0" w:color="auto"/>
        <w:left w:val="none" w:sz="0" w:space="0" w:color="auto"/>
        <w:bottom w:val="none" w:sz="0" w:space="0" w:color="auto"/>
        <w:right w:val="none" w:sz="0" w:space="0" w:color="auto"/>
      </w:divBdr>
    </w:div>
    <w:div w:id="213393405">
      <w:bodyDiv w:val="1"/>
      <w:marLeft w:val="0"/>
      <w:marRight w:val="0"/>
      <w:marTop w:val="0"/>
      <w:marBottom w:val="0"/>
      <w:divBdr>
        <w:top w:val="none" w:sz="0" w:space="0" w:color="auto"/>
        <w:left w:val="none" w:sz="0" w:space="0" w:color="auto"/>
        <w:bottom w:val="none" w:sz="0" w:space="0" w:color="auto"/>
        <w:right w:val="none" w:sz="0" w:space="0" w:color="auto"/>
      </w:divBdr>
      <w:divsChild>
        <w:div w:id="2067608450">
          <w:marLeft w:val="0"/>
          <w:marRight w:val="0"/>
          <w:marTop w:val="0"/>
          <w:marBottom w:val="0"/>
          <w:divBdr>
            <w:top w:val="none" w:sz="0" w:space="0" w:color="auto"/>
            <w:left w:val="none" w:sz="0" w:space="0" w:color="auto"/>
            <w:bottom w:val="none" w:sz="0" w:space="0" w:color="auto"/>
            <w:right w:val="none" w:sz="0" w:space="0" w:color="auto"/>
          </w:divBdr>
          <w:divsChild>
            <w:div w:id="248003567">
              <w:marLeft w:val="0"/>
              <w:marRight w:val="0"/>
              <w:marTop w:val="0"/>
              <w:marBottom w:val="0"/>
              <w:divBdr>
                <w:top w:val="none" w:sz="0" w:space="0" w:color="auto"/>
                <w:left w:val="none" w:sz="0" w:space="0" w:color="auto"/>
                <w:bottom w:val="none" w:sz="0" w:space="0" w:color="auto"/>
                <w:right w:val="none" w:sz="0" w:space="0" w:color="auto"/>
              </w:divBdr>
            </w:div>
            <w:div w:id="12356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6046">
      <w:bodyDiv w:val="1"/>
      <w:marLeft w:val="0"/>
      <w:marRight w:val="0"/>
      <w:marTop w:val="0"/>
      <w:marBottom w:val="0"/>
      <w:divBdr>
        <w:top w:val="none" w:sz="0" w:space="0" w:color="auto"/>
        <w:left w:val="none" w:sz="0" w:space="0" w:color="auto"/>
        <w:bottom w:val="none" w:sz="0" w:space="0" w:color="auto"/>
        <w:right w:val="none" w:sz="0" w:space="0" w:color="auto"/>
      </w:divBdr>
    </w:div>
    <w:div w:id="628318101">
      <w:bodyDiv w:val="1"/>
      <w:marLeft w:val="0"/>
      <w:marRight w:val="0"/>
      <w:marTop w:val="0"/>
      <w:marBottom w:val="0"/>
      <w:divBdr>
        <w:top w:val="none" w:sz="0" w:space="0" w:color="auto"/>
        <w:left w:val="none" w:sz="0" w:space="0" w:color="auto"/>
        <w:bottom w:val="none" w:sz="0" w:space="0" w:color="auto"/>
        <w:right w:val="none" w:sz="0" w:space="0" w:color="auto"/>
      </w:divBdr>
    </w:div>
    <w:div w:id="893151743">
      <w:bodyDiv w:val="1"/>
      <w:marLeft w:val="0"/>
      <w:marRight w:val="0"/>
      <w:marTop w:val="0"/>
      <w:marBottom w:val="0"/>
      <w:divBdr>
        <w:top w:val="none" w:sz="0" w:space="0" w:color="auto"/>
        <w:left w:val="none" w:sz="0" w:space="0" w:color="auto"/>
        <w:bottom w:val="none" w:sz="0" w:space="0" w:color="auto"/>
        <w:right w:val="none" w:sz="0" w:space="0" w:color="auto"/>
      </w:divBdr>
    </w:div>
    <w:div w:id="959336010">
      <w:bodyDiv w:val="1"/>
      <w:marLeft w:val="0"/>
      <w:marRight w:val="0"/>
      <w:marTop w:val="0"/>
      <w:marBottom w:val="0"/>
      <w:divBdr>
        <w:top w:val="none" w:sz="0" w:space="0" w:color="auto"/>
        <w:left w:val="none" w:sz="0" w:space="0" w:color="auto"/>
        <w:bottom w:val="none" w:sz="0" w:space="0" w:color="auto"/>
        <w:right w:val="none" w:sz="0" w:space="0" w:color="auto"/>
      </w:divBdr>
      <w:divsChild>
        <w:div w:id="772408332">
          <w:marLeft w:val="0"/>
          <w:marRight w:val="0"/>
          <w:marTop w:val="0"/>
          <w:marBottom w:val="0"/>
          <w:divBdr>
            <w:top w:val="none" w:sz="0" w:space="0" w:color="auto"/>
            <w:left w:val="none" w:sz="0" w:space="0" w:color="auto"/>
            <w:bottom w:val="none" w:sz="0" w:space="0" w:color="auto"/>
            <w:right w:val="none" w:sz="0" w:space="0" w:color="auto"/>
          </w:divBdr>
          <w:divsChild>
            <w:div w:id="1207525352">
              <w:marLeft w:val="0"/>
              <w:marRight w:val="0"/>
              <w:marTop w:val="0"/>
              <w:marBottom w:val="0"/>
              <w:divBdr>
                <w:top w:val="none" w:sz="0" w:space="0" w:color="auto"/>
                <w:left w:val="none" w:sz="0" w:space="0" w:color="auto"/>
                <w:bottom w:val="none" w:sz="0" w:space="0" w:color="auto"/>
                <w:right w:val="none" w:sz="0" w:space="0" w:color="auto"/>
              </w:divBdr>
            </w:div>
            <w:div w:id="19162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2330">
      <w:bodyDiv w:val="1"/>
      <w:marLeft w:val="0"/>
      <w:marRight w:val="0"/>
      <w:marTop w:val="0"/>
      <w:marBottom w:val="0"/>
      <w:divBdr>
        <w:top w:val="none" w:sz="0" w:space="0" w:color="auto"/>
        <w:left w:val="none" w:sz="0" w:space="0" w:color="auto"/>
        <w:bottom w:val="none" w:sz="0" w:space="0" w:color="auto"/>
        <w:right w:val="none" w:sz="0" w:space="0" w:color="auto"/>
      </w:divBdr>
      <w:divsChild>
        <w:div w:id="1711756799">
          <w:marLeft w:val="0"/>
          <w:marRight w:val="0"/>
          <w:marTop w:val="0"/>
          <w:marBottom w:val="0"/>
          <w:divBdr>
            <w:top w:val="none" w:sz="0" w:space="0" w:color="auto"/>
            <w:left w:val="none" w:sz="0" w:space="0" w:color="auto"/>
            <w:bottom w:val="none" w:sz="0" w:space="0" w:color="auto"/>
            <w:right w:val="none" w:sz="0" w:space="0" w:color="auto"/>
          </w:divBdr>
          <w:divsChild>
            <w:div w:id="188184936">
              <w:marLeft w:val="0"/>
              <w:marRight w:val="0"/>
              <w:marTop w:val="0"/>
              <w:marBottom w:val="0"/>
              <w:divBdr>
                <w:top w:val="none" w:sz="0" w:space="0" w:color="auto"/>
                <w:left w:val="none" w:sz="0" w:space="0" w:color="auto"/>
                <w:bottom w:val="none" w:sz="0" w:space="0" w:color="auto"/>
                <w:right w:val="none" w:sz="0" w:space="0" w:color="auto"/>
              </w:divBdr>
            </w:div>
            <w:div w:id="1161846020">
              <w:marLeft w:val="0"/>
              <w:marRight w:val="0"/>
              <w:marTop w:val="0"/>
              <w:marBottom w:val="0"/>
              <w:divBdr>
                <w:top w:val="none" w:sz="0" w:space="0" w:color="auto"/>
                <w:left w:val="none" w:sz="0" w:space="0" w:color="auto"/>
                <w:bottom w:val="none" w:sz="0" w:space="0" w:color="auto"/>
                <w:right w:val="none" w:sz="0" w:space="0" w:color="auto"/>
              </w:divBdr>
            </w:div>
            <w:div w:id="1961304311">
              <w:marLeft w:val="0"/>
              <w:marRight w:val="0"/>
              <w:marTop w:val="0"/>
              <w:marBottom w:val="0"/>
              <w:divBdr>
                <w:top w:val="none" w:sz="0" w:space="0" w:color="auto"/>
                <w:left w:val="none" w:sz="0" w:space="0" w:color="auto"/>
                <w:bottom w:val="none" w:sz="0" w:space="0" w:color="auto"/>
                <w:right w:val="none" w:sz="0" w:space="0" w:color="auto"/>
              </w:divBdr>
            </w:div>
            <w:div w:id="937642839">
              <w:marLeft w:val="0"/>
              <w:marRight w:val="0"/>
              <w:marTop w:val="0"/>
              <w:marBottom w:val="0"/>
              <w:divBdr>
                <w:top w:val="none" w:sz="0" w:space="0" w:color="auto"/>
                <w:left w:val="none" w:sz="0" w:space="0" w:color="auto"/>
                <w:bottom w:val="none" w:sz="0" w:space="0" w:color="auto"/>
                <w:right w:val="none" w:sz="0" w:space="0" w:color="auto"/>
              </w:divBdr>
            </w:div>
            <w:div w:id="17027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2113">
      <w:bodyDiv w:val="1"/>
      <w:marLeft w:val="0"/>
      <w:marRight w:val="0"/>
      <w:marTop w:val="0"/>
      <w:marBottom w:val="0"/>
      <w:divBdr>
        <w:top w:val="none" w:sz="0" w:space="0" w:color="auto"/>
        <w:left w:val="none" w:sz="0" w:space="0" w:color="auto"/>
        <w:bottom w:val="none" w:sz="0" w:space="0" w:color="auto"/>
        <w:right w:val="none" w:sz="0" w:space="0" w:color="auto"/>
      </w:divBdr>
    </w:div>
    <w:div w:id="12752862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cc.ligo.org/T1100080/" TargetMode="External"/><Relationship Id="rId12" Type="http://schemas.openxmlformats.org/officeDocument/2006/relationships/hyperlink" Target="https://dcc.ligo.org/cgi-bin/private/DocDB/ShowDocument?docid=12173" TargetMode="External"/><Relationship Id="rId13" Type="http://schemas.openxmlformats.org/officeDocument/2006/relationships/hyperlink" Target="https://dcc.ligo.org/cgi-bin/DocDB/ShowDocument?docid=1625" TargetMode="External"/><Relationship Id="rId14" Type="http://schemas.openxmlformats.org/officeDocument/2006/relationships/hyperlink" Target="https://dcc.ligo.org/L1200261/" TargetMode="External"/><Relationship Id="rId15" Type="http://schemas.openxmlformats.org/officeDocument/2006/relationships/hyperlink" Target="https://dcc.ligo.org/LIGO-E1200908"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33D8-7DBB-F142-8C57-2B900472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6668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Commissioning Advanced LIGO’s HIFO-Y</vt:lpstr>
    </vt:vector>
  </TitlesOfParts>
  <Company>Caltech</Company>
  <LinksUpToDate>false</LinksUpToDate>
  <CharactersWithSpaces>7822</CharactersWithSpaces>
  <SharedDoc>false</SharedDoc>
  <HLinks>
    <vt:vector size="24" baseType="variant">
      <vt:variant>
        <vt:i4>3473464</vt:i4>
      </vt:variant>
      <vt:variant>
        <vt:i4>18</vt:i4>
      </vt:variant>
      <vt:variant>
        <vt:i4>0</vt:i4>
      </vt:variant>
      <vt:variant>
        <vt:i4>5</vt:i4>
      </vt:variant>
      <vt:variant>
        <vt:lpwstr>https://dcc.ligo.org/cgi-bin/private/DocDB/ShowDocument?docid=22578</vt:lpwstr>
      </vt:variant>
      <vt:variant>
        <vt:lpwstr/>
      </vt:variant>
      <vt:variant>
        <vt:i4>3014755</vt:i4>
      </vt:variant>
      <vt:variant>
        <vt:i4>15</vt:i4>
      </vt:variant>
      <vt:variant>
        <vt:i4>0</vt:i4>
      </vt:variant>
      <vt:variant>
        <vt:i4>5</vt:i4>
      </vt:variant>
      <vt:variant>
        <vt:lpwstr>https://dcc.ligo.org/cgi-bin/DocDB/ShowDocument?docid=1625</vt:lpwstr>
      </vt:variant>
      <vt:variant>
        <vt:lpwstr/>
      </vt:variant>
      <vt:variant>
        <vt:i4>3014755</vt:i4>
      </vt:variant>
      <vt:variant>
        <vt:i4>3</vt:i4>
      </vt:variant>
      <vt:variant>
        <vt:i4>0</vt:i4>
      </vt:variant>
      <vt:variant>
        <vt:i4>5</vt:i4>
      </vt:variant>
      <vt:variant>
        <vt:lpwstr>https://dcc.ligo.org/cgi-bin/DocDB/ShowDocument?docid=1625</vt:lpwstr>
      </vt:variant>
      <vt:variant>
        <vt:lpwstr/>
      </vt:variant>
      <vt:variant>
        <vt:i4>3473471</vt:i4>
      </vt:variant>
      <vt:variant>
        <vt:i4>0</vt:i4>
      </vt:variant>
      <vt:variant>
        <vt:i4>0</vt:i4>
      </vt:variant>
      <vt:variant>
        <vt:i4>5</vt:i4>
      </vt:variant>
      <vt:variant>
        <vt:lpwstr>https://dcc.ligo.org/cgi-bin/private/DocDB/ShowDocument?docid=12173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Commissioning Advanced LIGO’s HIFO-Y</dc:title>
  <dc:subject/>
  <dc:creator>Daniel Sigg;Keita Kawabe;Peter Fritschel</dc:creator>
  <cp:keywords/>
  <dc:description/>
  <cp:lastModifiedBy>Peter Fritschel User</cp:lastModifiedBy>
  <cp:revision>2</cp:revision>
  <cp:lastPrinted>2011-02-06T21:05:00Z</cp:lastPrinted>
  <dcterms:created xsi:type="dcterms:W3CDTF">2013-03-25T15:08:00Z</dcterms:created>
  <dcterms:modified xsi:type="dcterms:W3CDTF">2013-03-25T15:08:00Z</dcterms:modified>
</cp:coreProperties>
</file>