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ED7EA8" w:rsidRPr="00ED7EA8">
        <w:rPr>
          <w:b/>
          <w:bCs/>
        </w:rPr>
        <w:t xml:space="preserve"> </w:t>
      </w:r>
      <w:r w:rsidR="00ED7EA8">
        <w:rPr>
          <w:b/>
          <w:bCs/>
        </w:rPr>
        <w:t>T1200452</w:t>
      </w:r>
      <w:r w:rsidR="00F5292B">
        <w:t>-v</w:t>
      </w:r>
      <w:r w:rsidR="00DD4F5F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B07629">
        <w:t>9-21-12</w:t>
      </w:r>
    </w:p>
    <w:p w:rsidR="005F48B2" w:rsidRDefault="002337E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B07629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CP </w:t>
      </w:r>
      <w:r w:rsidR="00660A83">
        <w:t xml:space="preserve">&amp; RM </w:t>
      </w:r>
      <w:r>
        <w:t>Alignment Tolerance</w:t>
      </w:r>
    </w:p>
    <w:p w:rsidR="00B07629" w:rsidRDefault="00B07629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Re Scattered Light</w:t>
      </w:r>
    </w:p>
    <w:p w:rsidR="005F48B2" w:rsidRDefault="002337E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522FC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5F48B2" w:rsidRDefault="005F48B2">
      <w:r>
        <w:t>The purpose of this</w:t>
      </w:r>
      <w:r w:rsidR="00522FCB">
        <w:t xml:space="preserve"> technical note is to specify the maximum pitch and </w:t>
      </w:r>
      <w:proofErr w:type="gramStart"/>
      <w:r w:rsidR="00522FCB">
        <w:t>yaw</w:t>
      </w:r>
      <w:proofErr w:type="gramEnd"/>
      <w:r w:rsidR="00522FCB">
        <w:t xml:space="preserve"> hanging tolerance of the CP </w:t>
      </w:r>
      <w:r w:rsidR="00660A83">
        <w:t xml:space="preserve">and RM </w:t>
      </w:r>
      <w:r w:rsidR="00522FCB">
        <w:t xml:space="preserve">so that the reflected ghost beams are not compromised. </w:t>
      </w:r>
    </w:p>
    <w:p w:rsidR="00522FCB" w:rsidRDefault="00522FCB">
      <w:r>
        <w:t xml:space="preserve">The directions of the front surface ghost beam, GB1, which is the reflection of the </w:t>
      </w:r>
      <w:r w:rsidR="006F0205">
        <w:t xml:space="preserve">recycling cavity </w:t>
      </w:r>
      <w:r>
        <w:t xml:space="preserve"> beam from the BS direction, and the 1</w:t>
      </w:r>
      <w:r w:rsidRPr="00522FCB">
        <w:rPr>
          <w:vertAlign w:val="superscript"/>
        </w:rPr>
        <w:t>st</w:t>
      </w:r>
      <w:r>
        <w:t xml:space="preserve"> internal ghost beam, which reflects from the CP surface and the ITM HR surface, as a function of the pitch and yaw tilt of the CP were determined using ZEMAX ray tracing.</w:t>
      </w:r>
    </w:p>
    <w:p w:rsidR="00FB7663" w:rsidRDefault="00FB7663">
      <w:r>
        <w:t xml:space="preserve">The ghost beam mitigation strategy requires that those ghost beams either hit the surface of the PR3 and SR3 mirrors, in which case they will be re-directed to the PR2 and SR2 Scraper baffles, or that they hit the HAM2 table baffle in front of PR3 </w:t>
      </w:r>
      <w:r w:rsidR="0087744E">
        <w:t xml:space="preserve">and </w:t>
      </w:r>
      <w:r>
        <w:t>the SR3 HR baffle</w:t>
      </w:r>
      <w:r w:rsidR="00522927">
        <w:t xml:space="preserve"> in front of SR3.</w:t>
      </w:r>
    </w:p>
    <w:p w:rsidR="005F48B2" w:rsidRDefault="00522927">
      <w:pPr>
        <w:pStyle w:val="Heading1"/>
      </w:pPr>
      <w:r>
        <w:t>Conclusion</w:t>
      </w:r>
    </w:p>
    <w:p w:rsidR="0087744E" w:rsidRDefault="006F0205">
      <w:r>
        <w:t xml:space="preserve">The ghost beam diameter was </w:t>
      </w:r>
      <w:r w:rsidR="007F7760">
        <w:t xml:space="preserve">modeled as </w:t>
      </w:r>
      <w:r>
        <w:t>the 1/e^2 re</w:t>
      </w:r>
      <w:r w:rsidR="00DD4F5F">
        <w:t>cycling cavity beam diameter at the BS, 1</w:t>
      </w:r>
      <w:r>
        <w:t xml:space="preserve">06 mm. </w:t>
      </w:r>
      <w:r w:rsidR="00522927">
        <w:t>The ITM wedge angle is 0.076 deg vertical</w:t>
      </w:r>
      <w:r w:rsidR="007F7760">
        <w:t>, with the thick side down. T</w:t>
      </w:r>
      <w:r w:rsidR="00522927">
        <w:t>he CP wedge angle is</w:t>
      </w:r>
      <w:r w:rsidR="0087744E">
        <w:t xml:space="preserve"> 0.069 deg</w:t>
      </w:r>
      <w:r w:rsidR="00522927">
        <w:t xml:space="preserve"> </w:t>
      </w:r>
      <w:r w:rsidR="0087744E">
        <w:t>horizontal</w:t>
      </w:r>
      <w:r w:rsidR="007F7760">
        <w:t>, with the CP-x thick side in the –Y direction, and the CP-y thick side in the –X direction</w:t>
      </w:r>
      <w:r w:rsidR="00522927">
        <w:t xml:space="preserve">. </w:t>
      </w:r>
      <w:r w:rsidR="0087744E">
        <w:t>The ideal alignment of the CP causes the CP back surface to be parallel to the ITM AR surface with a 20 mm gap</w:t>
      </w:r>
      <w:r>
        <w:t>. The pitch and yaw angular mis</w:t>
      </w:r>
      <w:r w:rsidR="0087744E">
        <w:t>alignment angles of the CP are measured from the ideal alignment position.</w:t>
      </w:r>
    </w:p>
    <w:p w:rsidR="00660A83" w:rsidRDefault="00660A83">
      <w:r>
        <w:t>The alignment of the RM at the ETM is not critical.</w:t>
      </w:r>
    </w:p>
    <w:p w:rsidR="005F48B2" w:rsidRDefault="00522927">
      <w:r>
        <w:t>The result</w:t>
      </w:r>
      <w:r w:rsidR="006F0205">
        <w:t>s</w:t>
      </w:r>
      <w:r>
        <w:t xml:space="preserve"> of the analysis </w:t>
      </w:r>
      <w:r w:rsidR="006F0205">
        <w:t>are</w:t>
      </w:r>
      <w:r>
        <w:t xml:space="preserve"> shown in the following:</w:t>
      </w:r>
    </w:p>
    <w:p w:rsidR="00522927" w:rsidRDefault="00522927"/>
    <w:tbl>
      <w:tblPr>
        <w:tblStyle w:val="TableGrid"/>
        <w:tblW w:w="0" w:type="auto"/>
        <w:tblLook w:val="04A0"/>
      </w:tblPr>
      <w:tblGrid>
        <w:gridCol w:w="3517"/>
        <w:gridCol w:w="3369"/>
        <w:gridCol w:w="2920"/>
      </w:tblGrid>
      <w:tr w:rsidR="0087744E" w:rsidTr="0087744E">
        <w:tc>
          <w:tcPr>
            <w:tcW w:w="3517" w:type="dxa"/>
          </w:tcPr>
          <w:p w:rsidR="0087744E" w:rsidRPr="00522927" w:rsidRDefault="00660A83" w:rsidP="0087744E">
            <w:pPr>
              <w:jc w:val="center"/>
              <w:rPr>
                <w:b/>
              </w:rPr>
            </w:pPr>
            <w:r>
              <w:rPr>
                <w:b/>
              </w:rPr>
              <w:t xml:space="preserve">CP </w:t>
            </w:r>
            <w:r w:rsidR="0087744E">
              <w:rPr>
                <w:b/>
              </w:rPr>
              <w:t xml:space="preserve">Misalignment </w:t>
            </w:r>
            <w:r w:rsidR="0087744E" w:rsidRPr="00522927">
              <w:rPr>
                <w:b/>
              </w:rPr>
              <w:t>Rotation Direction</w:t>
            </w:r>
          </w:p>
        </w:tc>
        <w:tc>
          <w:tcPr>
            <w:tcW w:w="3369" w:type="dxa"/>
          </w:tcPr>
          <w:p w:rsidR="0087744E" w:rsidRPr="00522927" w:rsidRDefault="0087744E" w:rsidP="006F0205">
            <w:pPr>
              <w:jc w:val="center"/>
              <w:rPr>
                <w:b/>
              </w:rPr>
            </w:pPr>
            <w:r w:rsidRPr="00522927">
              <w:rPr>
                <w:b/>
              </w:rPr>
              <w:t xml:space="preserve">Maximum </w:t>
            </w:r>
            <w:r w:rsidR="006F0205">
              <w:rPr>
                <w:b/>
              </w:rPr>
              <w:t>Misalignment</w:t>
            </w:r>
            <w:r w:rsidRPr="00522927">
              <w:rPr>
                <w:b/>
              </w:rPr>
              <w:t xml:space="preserve"> Angle, deg (as seen from above)</w:t>
            </w:r>
          </w:p>
        </w:tc>
        <w:tc>
          <w:tcPr>
            <w:tcW w:w="2920" w:type="dxa"/>
          </w:tcPr>
          <w:p w:rsidR="0087744E" w:rsidRPr="00522927" w:rsidRDefault="00660A83" w:rsidP="006F0205">
            <w:pPr>
              <w:jc w:val="center"/>
              <w:rPr>
                <w:b/>
              </w:rPr>
            </w:pPr>
            <w:r>
              <w:rPr>
                <w:b/>
              </w:rPr>
              <w:t xml:space="preserve">CP-ITM </w:t>
            </w:r>
            <w:r w:rsidR="0087744E">
              <w:rPr>
                <w:b/>
              </w:rPr>
              <w:t>Gap Error, mm</w:t>
            </w:r>
          </w:p>
        </w:tc>
      </w:tr>
      <w:tr w:rsidR="0087744E" w:rsidTr="0087744E">
        <w:tc>
          <w:tcPr>
            <w:tcW w:w="3517" w:type="dxa"/>
          </w:tcPr>
          <w:p w:rsidR="0087744E" w:rsidRDefault="0087744E">
            <w:r>
              <w:t>Horizontal (Yaw)</w:t>
            </w:r>
          </w:p>
        </w:tc>
        <w:tc>
          <w:tcPr>
            <w:tcW w:w="3369" w:type="dxa"/>
          </w:tcPr>
          <w:p w:rsidR="0087744E" w:rsidRDefault="0087744E">
            <w:r>
              <w:t>-0.18 deg counter clockwise</w:t>
            </w:r>
          </w:p>
        </w:tc>
        <w:tc>
          <w:tcPr>
            <w:tcW w:w="2920" w:type="dxa"/>
          </w:tcPr>
          <w:p w:rsidR="0087744E" w:rsidRDefault="006F0205">
            <w:r>
              <w:t>1.0</w:t>
            </w:r>
          </w:p>
        </w:tc>
      </w:tr>
      <w:tr w:rsidR="0087744E" w:rsidTr="0087744E">
        <w:tc>
          <w:tcPr>
            <w:tcW w:w="3517" w:type="dxa"/>
          </w:tcPr>
          <w:p w:rsidR="0087744E" w:rsidRDefault="0087744E"/>
        </w:tc>
        <w:tc>
          <w:tcPr>
            <w:tcW w:w="3369" w:type="dxa"/>
          </w:tcPr>
          <w:p w:rsidR="0087744E" w:rsidRDefault="0087744E">
            <w:r>
              <w:t>+0.08 deg clockwise</w:t>
            </w:r>
          </w:p>
        </w:tc>
        <w:tc>
          <w:tcPr>
            <w:tcW w:w="2920" w:type="dxa"/>
          </w:tcPr>
          <w:p w:rsidR="006F0205" w:rsidRDefault="006F0205" w:rsidP="006F0205">
            <w:r>
              <w:t>0.5</w:t>
            </w:r>
          </w:p>
        </w:tc>
      </w:tr>
      <w:tr w:rsidR="006F0205" w:rsidTr="0087744E">
        <w:tc>
          <w:tcPr>
            <w:tcW w:w="3517" w:type="dxa"/>
          </w:tcPr>
          <w:p w:rsidR="006F0205" w:rsidRDefault="006F0205">
            <w:r>
              <w:t>Vertical (Pitch)</w:t>
            </w:r>
          </w:p>
        </w:tc>
        <w:tc>
          <w:tcPr>
            <w:tcW w:w="3369" w:type="dxa"/>
          </w:tcPr>
          <w:p w:rsidR="006F0205" w:rsidRDefault="006F0205" w:rsidP="00522927">
            <w:r>
              <w:t>-0.18 deg counter clockwise</w:t>
            </w:r>
          </w:p>
        </w:tc>
        <w:tc>
          <w:tcPr>
            <w:tcW w:w="2920" w:type="dxa"/>
          </w:tcPr>
          <w:p w:rsidR="006F0205" w:rsidRDefault="006F0205" w:rsidP="007F7760">
            <w:r>
              <w:t>1.0</w:t>
            </w:r>
          </w:p>
        </w:tc>
      </w:tr>
      <w:tr w:rsidR="006F0205" w:rsidTr="0087744E">
        <w:tc>
          <w:tcPr>
            <w:tcW w:w="3517" w:type="dxa"/>
          </w:tcPr>
          <w:p w:rsidR="006F0205" w:rsidRDefault="006F0205"/>
        </w:tc>
        <w:tc>
          <w:tcPr>
            <w:tcW w:w="3369" w:type="dxa"/>
          </w:tcPr>
          <w:p w:rsidR="006F0205" w:rsidRDefault="006F0205" w:rsidP="00522927">
            <w:r>
              <w:t>+0.08 deg clockwise</w:t>
            </w:r>
          </w:p>
        </w:tc>
        <w:tc>
          <w:tcPr>
            <w:tcW w:w="2920" w:type="dxa"/>
          </w:tcPr>
          <w:p w:rsidR="006F0205" w:rsidRDefault="006F0205" w:rsidP="007F7760">
            <w:r>
              <w:t>0.5</w:t>
            </w:r>
          </w:p>
        </w:tc>
      </w:tr>
    </w:tbl>
    <w:p w:rsidR="00522927" w:rsidRDefault="00522927"/>
    <w:p w:rsidR="005F48B2" w:rsidRDefault="00522927" w:rsidP="00522927">
      <w:pPr>
        <w:pStyle w:val="Heading1"/>
      </w:pPr>
      <w:r>
        <w:lastRenderedPageBreak/>
        <w:t>Details of the Analysis</w:t>
      </w:r>
    </w:p>
    <w:p w:rsidR="005F48B2" w:rsidRDefault="00B07629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089650" cy="7884141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88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29" w:rsidRDefault="00B07629">
      <w:r>
        <w:rPr>
          <w:noProof/>
        </w:rPr>
        <w:lastRenderedPageBreak/>
        <w:drawing>
          <wp:inline distT="0" distB="0" distL="0" distR="0">
            <wp:extent cx="6089650" cy="7904484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9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629" w:rsidSect="00CF7968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60" w:rsidRDefault="007F7760">
      <w:r>
        <w:separator/>
      </w:r>
    </w:p>
  </w:endnote>
  <w:endnote w:type="continuationSeparator" w:id="0">
    <w:p w:rsidR="007F7760" w:rsidRDefault="007F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0" w:rsidRDefault="00233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77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760" w:rsidRDefault="007F77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0" w:rsidRDefault="002337E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F77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F5F">
      <w:rPr>
        <w:rStyle w:val="PageNumber"/>
        <w:noProof/>
      </w:rPr>
      <w:t>3</w:t>
    </w:r>
    <w:r>
      <w:rPr>
        <w:rStyle w:val="PageNumber"/>
      </w:rPr>
      <w:fldChar w:fldCharType="end"/>
    </w:r>
  </w:p>
  <w:p w:rsidR="007F7760" w:rsidRDefault="007F77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60" w:rsidRDefault="007F7760">
      <w:r>
        <w:separator/>
      </w:r>
    </w:p>
  </w:footnote>
  <w:footnote w:type="continuationSeparator" w:id="0">
    <w:p w:rsidR="007F7760" w:rsidRDefault="007F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0" w:rsidRDefault="007F776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ED7EA8" w:rsidRPr="00ED7EA8">
      <w:rPr>
        <w:b/>
        <w:bCs/>
      </w:rPr>
      <w:t xml:space="preserve"> </w:t>
    </w:r>
    <w:r w:rsidR="00ED7EA8">
      <w:rPr>
        <w:b/>
        <w:bCs/>
      </w:rPr>
      <w:t>T1200452</w:t>
    </w:r>
    <w:r w:rsidR="00DD4F5F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0" w:rsidRDefault="007F7760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2337ED" w:rsidRPr="002337E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1008382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142F5B"/>
    <w:rsid w:val="002337ED"/>
    <w:rsid w:val="0036226E"/>
    <w:rsid w:val="00522927"/>
    <w:rsid w:val="00522FCB"/>
    <w:rsid w:val="0054334E"/>
    <w:rsid w:val="00563A05"/>
    <w:rsid w:val="005E13FE"/>
    <w:rsid w:val="005F48B2"/>
    <w:rsid w:val="00660A83"/>
    <w:rsid w:val="00680671"/>
    <w:rsid w:val="006F0205"/>
    <w:rsid w:val="00776291"/>
    <w:rsid w:val="0078145B"/>
    <w:rsid w:val="007F7760"/>
    <w:rsid w:val="00812214"/>
    <w:rsid w:val="00832753"/>
    <w:rsid w:val="00851AAE"/>
    <w:rsid w:val="0087744E"/>
    <w:rsid w:val="008E7496"/>
    <w:rsid w:val="009022BF"/>
    <w:rsid w:val="00B07629"/>
    <w:rsid w:val="00CC3B9F"/>
    <w:rsid w:val="00CF7968"/>
    <w:rsid w:val="00DD4F5F"/>
    <w:rsid w:val="00E271E7"/>
    <w:rsid w:val="00E66298"/>
    <w:rsid w:val="00ED7EA8"/>
    <w:rsid w:val="00F5292B"/>
    <w:rsid w:val="00F65452"/>
    <w:rsid w:val="00FB3DAE"/>
    <w:rsid w:val="00F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68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CF7968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F796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F7968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F7968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F7968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F7968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F7968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F7968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F7968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7968"/>
  </w:style>
  <w:style w:type="paragraph" w:styleId="DocumentMap">
    <w:name w:val="Document Map"/>
    <w:basedOn w:val="Normal"/>
    <w:semiHidden/>
    <w:rsid w:val="00CF7968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F7968"/>
    <w:rPr>
      <w:rFonts w:ascii="Courier New" w:hAnsi="Courier New"/>
      <w:snapToGrid w:val="0"/>
    </w:rPr>
  </w:style>
  <w:style w:type="paragraph" w:styleId="ListNumber">
    <w:name w:val="List Number"/>
    <w:basedOn w:val="Normal"/>
    <w:rsid w:val="00CF7968"/>
    <w:pPr>
      <w:numPr>
        <w:numId w:val="1"/>
      </w:numPr>
    </w:pPr>
  </w:style>
  <w:style w:type="paragraph" w:styleId="ListNumber2">
    <w:name w:val="List Number 2"/>
    <w:basedOn w:val="Normal"/>
    <w:rsid w:val="00CF7968"/>
    <w:pPr>
      <w:numPr>
        <w:numId w:val="2"/>
      </w:numPr>
    </w:pPr>
  </w:style>
  <w:style w:type="paragraph" w:styleId="ListBullet">
    <w:name w:val="List Bullet"/>
    <w:basedOn w:val="Normal"/>
    <w:autoRedefine/>
    <w:rsid w:val="00CF7968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F7968"/>
    <w:pPr>
      <w:spacing w:after="120"/>
    </w:pPr>
    <w:rPr>
      <w:b/>
    </w:rPr>
  </w:style>
  <w:style w:type="paragraph" w:styleId="Footer">
    <w:name w:val="footer"/>
    <w:basedOn w:val="Normal"/>
    <w:rsid w:val="00CF7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968"/>
  </w:style>
  <w:style w:type="paragraph" w:styleId="Header">
    <w:name w:val="header"/>
    <w:basedOn w:val="Normal"/>
    <w:rsid w:val="00CF79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968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F7968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F796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F7968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F7968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F7968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F7968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F7968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F7968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F7968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F7968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F7968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F7968"/>
    <w:rPr>
      <w:sz w:val="20"/>
    </w:rPr>
  </w:style>
  <w:style w:type="character" w:styleId="FootnoteReference">
    <w:name w:val="footnote reference"/>
    <w:basedOn w:val="DefaultParagraphFont"/>
    <w:semiHidden/>
    <w:rsid w:val="00CF7968"/>
    <w:rPr>
      <w:vertAlign w:val="superscript"/>
    </w:rPr>
  </w:style>
  <w:style w:type="paragraph" w:styleId="BalloonText">
    <w:name w:val="Balloon Text"/>
    <w:basedOn w:val="Normal"/>
    <w:link w:val="BalloonTextChar"/>
    <w:rsid w:val="00B076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2</cp:revision>
  <cp:lastPrinted>2000-07-19T02:21:00Z</cp:lastPrinted>
  <dcterms:created xsi:type="dcterms:W3CDTF">2012-09-25T20:10:00Z</dcterms:created>
  <dcterms:modified xsi:type="dcterms:W3CDTF">2012-09-25T20:10:00Z</dcterms:modified>
</cp:coreProperties>
</file>