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E4" w:rsidRDefault="00BD45F3" w:rsidP="006849E4">
      <w:pPr>
        <w:rPr>
          <w:b/>
        </w:rPr>
      </w:pPr>
      <w:r>
        <w:rPr>
          <w:b/>
        </w:rPr>
        <w:t>Evaluation of Cable Crosstalk</w:t>
      </w:r>
      <w:r w:rsidR="00193787">
        <w:rPr>
          <w:b/>
        </w:rPr>
        <w:t xml:space="preserve"> and Shielding</w:t>
      </w:r>
    </w:p>
    <w:p w:rsidR="002C32BA" w:rsidRDefault="00E74588" w:rsidP="003B15E9">
      <w:pPr>
        <w:outlineLvl w:val="0"/>
        <w:rPr>
          <w:b/>
          <w:bCs/>
        </w:rPr>
      </w:pPr>
      <w:r>
        <w:rPr>
          <w:b/>
          <w:bCs/>
        </w:rPr>
        <w:t>LIGO-</w:t>
      </w:r>
      <w:r w:rsidR="002726CF">
        <w:rPr>
          <w:b/>
          <w:bCs/>
        </w:rPr>
        <w:t>T1100264-v1</w:t>
      </w:r>
    </w:p>
    <w:p w:rsidR="006849E4" w:rsidRDefault="006849E4" w:rsidP="003B15E9">
      <w:pPr>
        <w:outlineLvl w:val="0"/>
        <w:rPr>
          <w:b/>
        </w:rPr>
      </w:pPr>
      <w:r>
        <w:rPr>
          <w:b/>
        </w:rPr>
        <w:t>R. Abbott</w:t>
      </w:r>
      <w:r w:rsidR="009850E5">
        <w:rPr>
          <w:b/>
        </w:rPr>
        <w:t xml:space="preserve">, </w:t>
      </w:r>
      <w:r w:rsidR="00BD45F3">
        <w:rPr>
          <w:b/>
        </w:rPr>
        <w:t>B.  Abbott</w:t>
      </w:r>
      <w:r w:rsidR="00B909B0">
        <w:rPr>
          <w:b/>
        </w:rPr>
        <w:t>, S. Abbott</w:t>
      </w:r>
    </w:p>
    <w:p w:rsidR="006849E4" w:rsidRDefault="009850E5" w:rsidP="006849E4">
      <w:pPr>
        <w:rPr>
          <w:b/>
        </w:rPr>
      </w:pPr>
      <w:r>
        <w:rPr>
          <w:b/>
        </w:rPr>
        <w:t>11 May, 2011</w:t>
      </w:r>
    </w:p>
    <w:p w:rsidR="006849E4" w:rsidRDefault="006849E4" w:rsidP="006849E4">
      <w:pPr>
        <w:rPr>
          <w:b/>
        </w:rPr>
      </w:pPr>
    </w:p>
    <w:p w:rsidR="00386C8D" w:rsidRDefault="00BD45F3" w:rsidP="00BD45F3">
      <w:pPr>
        <w:pStyle w:val="ListParagraph"/>
        <w:numPr>
          <w:ilvl w:val="0"/>
          <w:numId w:val="10"/>
        </w:numPr>
      </w:pPr>
      <w:r>
        <w:rPr>
          <w:b/>
        </w:rPr>
        <w:t xml:space="preserve">Overview – </w:t>
      </w:r>
      <w:r>
        <w:t xml:space="preserve">aLIGO uses numerous general purpose cables to differentially transmit audio </w:t>
      </w:r>
      <w:r w:rsidR="008226B6">
        <w:t xml:space="preserve">frequency </w:t>
      </w:r>
      <w:r>
        <w:t>signals throughout the observatory.  Given the large number of cables needed, it is desirable to choose a cable that is readily available, electrically suitable from a shielding and crosstalk standpoint, and easy to use in cable assembly manufacture.  Audio frequency analog signals are to be transmitted and received utilizing fully differential techniques over distances ranging from a few feet to hundreds of feet. Crosstalk measurements on adjacent pairs within a bundle were taken on two candidate cable types to guide the choice for a suitable instrumentation and control cable for audio frequency use in aLIGO.</w:t>
      </w:r>
    </w:p>
    <w:p w:rsidR="00193787" w:rsidRDefault="00193787" w:rsidP="00B909B0">
      <w:pPr>
        <w:ind w:left="360" w:firstLine="360"/>
      </w:pPr>
    </w:p>
    <w:p w:rsidR="00B909B0" w:rsidRDefault="00B909B0" w:rsidP="00B909B0">
      <w:pPr>
        <w:ind w:left="360" w:firstLine="360"/>
      </w:pPr>
      <w:r>
        <w:t xml:space="preserve">Two types of cable were analyzed: Alpha part number </w:t>
      </w:r>
      <w:r w:rsidRPr="00B909B0">
        <w:rPr>
          <w:b/>
        </w:rPr>
        <w:t>2214C</w:t>
      </w:r>
      <w:r>
        <w:t xml:space="preserve"> (overall shield, 22 AWG, 4 twisted pair, 100 feet total length), </w:t>
      </w:r>
      <w:r w:rsidR="008226B6">
        <w:t xml:space="preserve">and </w:t>
      </w:r>
      <w:r>
        <w:t xml:space="preserve">Alpha part number </w:t>
      </w:r>
      <w:r w:rsidRPr="00B909B0">
        <w:rPr>
          <w:b/>
        </w:rPr>
        <w:t>6054C</w:t>
      </w:r>
      <w:r>
        <w:t xml:space="preserve"> (individual shield, 22 AWG, 4 twisted pair, 100 feet total length).</w:t>
      </w:r>
    </w:p>
    <w:p w:rsidR="006F26FD" w:rsidRDefault="006F26FD" w:rsidP="006F26FD"/>
    <w:p w:rsidR="006F26FD" w:rsidRPr="006F26FD" w:rsidRDefault="006F26FD" w:rsidP="00BD45F3">
      <w:pPr>
        <w:pStyle w:val="ListParagraph"/>
        <w:numPr>
          <w:ilvl w:val="0"/>
          <w:numId w:val="10"/>
        </w:numPr>
      </w:pPr>
      <w:r>
        <w:rPr>
          <w:b/>
        </w:rPr>
        <w:t>Test Setup</w:t>
      </w:r>
      <w:r w:rsidR="00A070A9">
        <w:rPr>
          <w:b/>
        </w:rPr>
        <w:t xml:space="preserve"> (Alpha 2214C)</w:t>
      </w:r>
      <w:r>
        <w:rPr>
          <w:b/>
        </w:rPr>
        <w:t xml:space="preserve"> – </w:t>
      </w:r>
      <w:r>
        <w:t xml:space="preserve">As shown in </w:t>
      </w:r>
      <w:r>
        <w:fldChar w:fldCharType="begin"/>
      </w:r>
      <w:r>
        <w:instrText xml:space="preserve"> REF _Ref292896161 \h </w:instrText>
      </w:r>
      <w:r>
        <w:fldChar w:fldCharType="separate"/>
      </w:r>
      <w:r w:rsidR="009760DC" w:rsidRPr="008226B6">
        <w:rPr>
          <w:b/>
        </w:rPr>
        <w:t>Figure</w:t>
      </w:r>
      <w:r w:rsidR="009760DC" w:rsidRPr="006F26FD">
        <w:t xml:space="preserve"> </w:t>
      </w:r>
      <w:r w:rsidR="009760DC">
        <w:rPr>
          <w:noProof/>
        </w:rPr>
        <w:t>1</w:t>
      </w:r>
      <w:r>
        <w:fldChar w:fldCharType="end"/>
      </w:r>
      <w:r>
        <w:t xml:space="preserve">, an SR785 Dynamic Signal Analyzer is used to drive one wire in a pair (either A or B) while receiving the differential signal induced in the other pair (C and D).  Ideally, there would be no coupling.  In reality, due to factors ranging from real finite isolation in the cable pairs, and finite isolation in the test setup, there </w:t>
      </w:r>
      <w:r w:rsidR="00B909B0">
        <w:t>is</w:t>
      </w:r>
      <w:r>
        <w:t xml:space="preserve"> coupling of energy from </w:t>
      </w:r>
      <w:r w:rsidR="00B909B0">
        <w:t>the driven</w:t>
      </w:r>
      <w:r>
        <w:t xml:space="preserve"> cable to the adjacent pair.</w:t>
      </w:r>
    </w:p>
    <w:p w:rsidR="006F26FD" w:rsidRDefault="006F26FD" w:rsidP="006F26FD">
      <w:pPr>
        <w:pStyle w:val="ListParagraph"/>
      </w:pPr>
    </w:p>
    <w:p w:rsidR="006F26FD" w:rsidRPr="006F26FD" w:rsidRDefault="006F26FD" w:rsidP="008226B6">
      <w:pPr>
        <w:ind w:left="360" w:firstLine="360"/>
        <w:jc w:val="center"/>
      </w:pPr>
      <w:bookmarkStart w:id="0" w:name="_Ref292896161"/>
      <w:r w:rsidRPr="008226B6">
        <w:rPr>
          <w:b/>
        </w:rPr>
        <w:t>Figure</w:t>
      </w:r>
      <w:r w:rsidRPr="006F26FD">
        <w:t xml:space="preserve"> </w:t>
      </w:r>
      <w:fldSimple w:instr=" SEQ Figure \* ARABIC ">
        <w:r w:rsidR="009760DC">
          <w:rPr>
            <w:noProof/>
          </w:rPr>
          <w:t>1</w:t>
        </w:r>
      </w:fldSimple>
      <w:bookmarkEnd w:id="0"/>
    </w:p>
    <w:p w:rsidR="006F26FD" w:rsidRDefault="00BC675A" w:rsidP="006F26FD">
      <w:pPr>
        <w:jc w:val="center"/>
      </w:pPr>
      <w:r>
        <w:object w:dxaOrig="8156" w:dyaOrig="8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5pt;height:273.45pt" o:ole="">
            <v:imagedata r:id="rId7" o:title=""/>
          </v:shape>
          <o:OLEObject Type="Embed" ProgID="Visio.Drawing.11" ShapeID="_x0000_i1025" DrawAspect="Content" ObjectID="_1366703606" r:id="rId8"/>
        </w:object>
      </w:r>
    </w:p>
    <w:p w:rsidR="006F26FD" w:rsidRDefault="006F26FD" w:rsidP="006F26FD">
      <w:pPr>
        <w:jc w:val="center"/>
      </w:pPr>
    </w:p>
    <w:p w:rsidR="006F26FD" w:rsidRDefault="006F26FD" w:rsidP="00A070A9">
      <w:pPr>
        <w:ind w:left="360" w:firstLine="360"/>
      </w:pPr>
      <w:r>
        <w:lastRenderedPageBreak/>
        <w:t>The transmitting cable is left open on the remote end whereas the receiving cable pair is shorted together at the source end and grounded to the shield.  This simulates the best case source impedance balance, and the Thevenin equivalent circuit of an ideal voltage source driv</w:t>
      </w:r>
      <w:r w:rsidR="00A070A9">
        <w:t>ing the receiving cable pair</w:t>
      </w:r>
      <w:r>
        <w:t>.</w:t>
      </w:r>
    </w:p>
    <w:p w:rsidR="00A070A9" w:rsidRDefault="00A070A9" w:rsidP="00A070A9">
      <w:pPr>
        <w:ind w:left="360" w:firstLine="360"/>
      </w:pPr>
    </w:p>
    <w:p w:rsidR="00E714D1" w:rsidRDefault="00A070A9" w:rsidP="00E714D1">
      <w:pPr>
        <w:pStyle w:val="ListParagraph"/>
        <w:numPr>
          <w:ilvl w:val="0"/>
          <w:numId w:val="10"/>
        </w:numPr>
      </w:pPr>
      <w:r w:rsidRPr="007F416D">
        <w:rPr>
          <w:b/>
        </w:rPr>
        <w:t>Test Setup (Alpha 6054C)</w:t>
      </w:r>
      <w:r w:rsidR="007F416D" w:rsidRPr="007F416D">
        <w:rPr>
          <w:b/>
        </w:rPr>
        <w:t xml:space="preserve"> – </w:t>
      </w:r>
      <w:r w:rsidR="007F416D">
        <w:t xml:space="preserve">As shown in </w:t>
      </w:r>
      <w:r w:rsidR="007F416D">
        <w:fldChar w:fldCharType="begin"/>
      </w:r>
      <w:r w:rsidR="007F416D">
        <w:instrText xml:space="preserve"> REF _Ref292953681 \h </w:instrText>
      </w:r>
      <w:r w:rsidR="007F416D">
        <w:fldChar w:fldCharType="separate"/>
      </w:r>
      <w:r w:rsidR="009760DC" w:rsidRPr="008226B6">
        <w:rPr>
          <w:b/>
        </w:rPr>
        <w:t xml:space="preserve">Figure </w:t>
      </w:r>
      <w:r w:rsidR="009760DC">
        <w:rPr>
          <w:b/>
          <w:noProof/>
        </w:rPr>
        <w:t>2</w:t>
      </w:r>
      <w:r w:rsidR="007F416D">
        <w:fldChar w:fldCharType="end"/>
      </w:r>
      <w:r w:rsidR="007F416D">
        <w:t xml:space="preserve"> the Alpha 6054C cable has individual shields.  The test setup is modified per the diagram to connect the two shields at the source end of the measurement.  The other aspects of the measurement remain the same as the previous cable test.</w:t>
      </w:r>
    </w:p>
    <w:p w:rsidR="00E714D1" w:rsidRDefault="00E714D1" w:rsidP="00E714D1"/>
    <w:p w:rsidR="007F416D" w:rsidRPr="008226B6" w:rsidRDefault="007F416D" w:rsidP="008226B6">
      <w:pPr>
        <w:ind w:left="360" w:firstLine="360"/>
        <w:jc w:val="center"/>
        <w:rPr>
          <w:b/>
        </w:rPr>
      </w:pPr>
      <w:bookmarkStart w:id="1" w:name="_Ref292953681"/>
      <w:r w:rsidRPr="008226B6">
        <w:rPr>
          <w:b/>
        </w:rPr>
        <w:t xml:space="preserve">Figure </w:t>
      </w:r>
      <w:r w:rsidRPr="008226B6">
        <w:rPr>
          <w:b/>
        </w:rPr>
        <w:fldChar w:fldCharType="begin"/>
      </w:r>
      <w:r w:rsidRPr="008226B6">
        <w:rPr>
          <w:b/>
        </w:rPr>
        <w:instrText xml:space="preserve"> SEQ Figure \* ARABIC </w:instrText>
      </w:r>
      <w:r w:rsidRPr="008226B6">
        <w:rPr>
          <w:b/>
        </w:rPr>
        <w:fldChar w:fldCharType="separate"/>
      </w:r>
      <w:r w:rsidR="009760DC">
        <w:rPr>
          <w:b/>
          <w:noProof/>
        </w:rPr>
        <w:t>2</w:t>
      </w:r>
      <w:r w:rsidRPr="008226B6">
        <w:rPr>
          <w:b/>
        </w:rPr>
        <w:fldChar w:fldCharType="end"/>
      </w:r>
      <w:bookmarkEnd w:id="1"/>
    </w:p>
    <w:p w:rsidR="00E714D1" w:rsidRDefault="00F50C4B" w:rsidP="00E714D1">
      <w:pPr>
        <w:jc w:val="center"/>
      </w:pPr>
      <w:r>
        <w:object w:dxaOrig="7912" w:dyaOrig="9764">
          <v:shape id="_x0000_i1026" type="#_x0000_t75" style="width:267.45pt;height:329.15pt" o:ole="">
            <v:imagedata r:id="rId9" o:title=""/>
          </v:shape>
          <o:OLEObject Type="Embed" ProgID="Visio.Drawing.11" ShapeID="_x0000_i1026" DrawAspect="Content" ObjectID="_1366703607" r:id="rId10"/>
        </w:object>
      </w:r>
    </w:p>
    <w:p w:rsidR="007F416D" w:rsidRDefault="007F416D" w:rsidP="00E714D1">
      <w:pPr>
        <w:jc w:val="center"/>
      </w:pPr>
    </w:p>
    <w:p w:rsidR="007F416D" w:rsidRDefault="007F416D">
      <w:pPr>
        <w:spacing w:after="200" w:line="276" w:lineRule="auto"/>
      </w:pPr>
      <w:r>
        <w:br w:type="page"/>
      </w:r>
    </w:p>
    <w:p w:rsidR="00BC675A" w:rsidRPr="008226B6" w:rsidRDefault="008226B6" w:rsidP="008226B6">
      <w:pPr>
        <w:pStyle w:val="Caption"/>
        <w:jc w:val="left"/>
        <w:rPr>
          <w:b w:val="0"/>
          <w:bCs w:val="0"/>
          <w:color w:val="auto"/>
          <w:szCs w:val="24"/>
        </w:rPr>
      </w:pPr>
      <w:r>
        <w:lastRenderedPageBreak/>
        <w:t xml:space="preserve">Test Results - </w:t>
      </w:r>
      <w:fldSimple w:instr=" REF _Ref292953828 \h  \* MERGEFORMAT ">
        <w:r w:rsidR="009760DC" w:rsidRPr="009760DC">
          <w:rPr>
            <w:b w:val="0"/>
            <w:bCs w:val="0"/>
            <w:color w:val="auto"/>
            <w:szCs w:val="24"/>
          </w:rPr>
          <w:t>Figure 3</w:t>
        </w:r>
      </w:fldSimple>
      <w:r w:rsidR="007F416D" w:rsidRPr="008226B6">
        <w:rPr>
          <w:b w:val="0"/>
          <w:bCs w:val="0"/>
          <w:color w:val="auto"/>
          <w:szCs w:val="24"/>
        </w:rPr>
        <w:t xml:space="preserve"> shows the somewhat surprising result that the cable with individual shields seems to have more crosstalk than the cable with only an overall shield.  Also, there is evidence of a coupling that varies as &gt;20dB per decade above a few kHz.  The coupling </w:t>
      </w:r>
      <w:r w:rsidR="00193787" w:rsidRPr="008226B6">
        <w:rPr>
          <w:b w:val="0"/>
          <w:bCs w:val="0"/>
          <w:color w:val="auto"/>
          <w:szCs w:val="24"/>
        </w:rPr>
        <w:t xml:space="preserve">slope </w:t>
      </w:r>
      <w:r w:rsidR="007F416D" w:rsidRPr="008226B6">
        <w:rPr>
          <w:b w:val="0"/>
          <w:bCs w:val="0"/>
          <w:color w:val="auto"/>
          <w:szCs w:val="24"/>
        </w:rPr>
        <w:t xml:space="preserve">anomaly is likely related to the common mode rejection ratio (CMRR) of the test setup.  A measurement was taken of the CMRR in </w:t>
      </w:r>
      <w:fldSimple w:instr=" REF _Ref292954926 \h  \* MERGEFORMAT ">
        <w:r w:rsidR="009760DC" w:rsidRPr="009760DC">
          <w:rPr>
            <w:b w:val="0"/>
            <w:bCs w:val="0"/>
            <w:color w:val="auto"/>
            <w:szCs w:val="24"/>
          </w:rPr>
          <w:t>Figure</w:t>
        </w:r>
        <w:r w:rsidR="009760DC">
          <w:t xml:space="preserve"> </w:t>
        </w:r>
        <w:r w:rsidR="009760DC">
          <w:rPr>
            <w:b w:val="0"/>
            <w:noProof/>
          </w:rPr>
          <w:t>4</w:t>
        </w:r>
      </w:fldSimple>
    </w:p>
    <w:p w:rsidR="007F416D" w:rsidRPr="008226B6" w:rsidRDefault="007F416D" w:rsidP="008226B6">
      <w:pPr>
        <w:ind w:left="360" w:firstLine="360"/>
        <w:jc w:val="center"/>
        <w:rPr>
          <w:b/>
        </w:rPr>
      </w:pPr>
      <w:bookmarkStart w:id="2" w:name="_Ref292953828"/>
      <w:r w:rsidRPr="008226B6">
        <w:rPr>
          <w:b/>
        </w:rPr>
        <w:t xml:space="preserve">Figure </w:t>
      </w:r>
      <w:r w:rsidRPr="008226B6">
        <w:rPr>
          <w:b/>
        </w:rPr>
        <w:fldChar w:fldCharType="begin"/>
      </w:r>
      <w:r w:rsidRPr="008226B6">
        <w:rPr>
          <w:b/>
        </w:rPr>
        <w:instrText xml:space="preserve"> SEQ Figure \* ARABIC </w:instrText>
      </w:r>
      <w:r w:rsidRPr="008226B6">
        <w:rPr>
          <w:b/>
        </w:rPr>
        <w:fldChar w:fldCharType="separate"/>
      </w:r>
      <w:r w:rsidR="009760DC">
        <w:rPr>
          <w:b/>
          <w:noProof/>
        </w:rPr>
        <w:t>3</w:t>
      </w:r>
      <w:r w:rsidRPr="008226B6">
        <w:rPr>
          <w:b/>
        </w:rPr>
        <w:fldChar w:fldCharType="end"/>
      </w:r>
      <w:bookmarkEnd w:id="2"/>
    </w:p>
    <w:p w:rsidR="00BC675A" w:rsidRDefault="00BC675A" w:rsidP="00E714D1">
      <w:pPr>
        <w:jc w:val="center"/>
      </w:pPr>
      <w:r w:rsidRPr="00BC675A">
        <w:drawing>
          <wp:inline distT="0" distB="0" distL="0" distR="0">
            <wp:extent cx="4241165" cy="2803482"/>
            <wp:effectExtent l="1905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4246291" cy="2806871"/>
                    </a:xfrm>
                    <a:prstGeom prst="rect">
                      <a:avLst/>
                    </a:prstGeom>
                    <a:noFill/>
                    <a:ln w="9525">
                      <a:noFill/>
                      <a:miter lim="800000"/>
                      <a:headEnd/>
                      <a:tailEnd/>
                    </a:ln>
                  </pic:spPr>
                </pic:pic>
              </a:graphicData>
            </a:graphic>
          </wp:inline>
        </w:drawing>
      </w:r>
    </w:p>
    <w:p w:rsidR="00761F33" w:rsidRDefault="00761F33" w:rsidP="00E714D1">
      <w:pPr>
        <w:jc w:val="center"/>
      </w:pPr>
    </w:p>
    <w:p w:rsidR="00761F33" w:rsidRPr="008226B6" w:rsidRDefault="00761F33" w:rsidP="008226B6">
      <w:pPr>
        <w:pStyle w:val="Caption"/>
        <w:rPr>
          <w:b w:val="0"/>
          <w:bCs w:val="0"/>
          <w:color w:val="auto"/>
          <w:szCs w:val="24"/>
        </w:rPr>
      </w:pPr>
      <w:r>
        <w:t xml:space="preserve">Common Mode Rejection Ratio – </w:t>
      </w:r>
      <w:fldSimple w:instr=" REF _Ref292954926 \h  \* MERGEFORMAT ">
        <w:r w:rsidR="009760DC" w:rsidRPr="009760DC">
          <w:rPr>
            <w:b w:val="0"/>
            <w:bCs w:val="0"/>
            <w:color w:val="auto"/>
            <w:szCs w:val="24"/>
          </w:rPr>
          <w:t>Figure</w:t>
        </w:r>
        <w:r w:rsidR="009760DC">
          <w:t xml:space="preserve"> </w:t>
        </w:r>
        <w:r w:rsidR="009760DC">
          <w:rPr>
            <w:b w:val="0"/>
            <w:noProof/>
          </w:rPr>
          <w:t>4</w:t>
        </w:r>
      </w:fldSimple>
      <w:r w:rsidR="00F50C4B" w:rsidRPr="008226B6">
        <w:rPr>
          <w:b w:val="0"/>
          <w:bCs w:val="0"/>
          <w:color w:val="auto"/>
          <w:szCs w:val="24"/>
        </w:rPr>
        <w:t xml:space="preserve"> shows the CMRR of the test setup obtained by shorting the cables attached to Ch. 2, A and B inputs and driving them in common mode.</w:t>
      </w:r>
    </w:p>
    <w:p w:rsidR="00F50C4B" w:rsidRDefault="00F50C4B" w:rsidP="008226B6">
      <w:pPr>
        <w:ind w:left="360" w:firstLine="360"/>
        <w:jc w:val="center"/>
      </w:pPr>
      <w:bookmarkStart w:id="3" w:name="_Ref292954926"/>
      <w:r w:rsidRPr="008226B6">
        <w:rPr>
          <w:b/>
        </w:rPr>
        <w:t>Figure</w:t>
      </w:r>
      <w:r>
        <w:t xml:space="preserve"> </w:t>
      </w:r>
      <w:r w:rsidRPr="008226B6">
        <w:rPr>
          <w:b/>
        </w:rPr>
        <w:fldChar w:fldCharType="begin"/>
      </w:r>
      <w:r w:rsidRPr="008226B6">
        <w:rPr>
          <w:b/>
        </w:rPr>
        <w:instrText xml:space="preserve"> SEQ Figure \* ARABIC </w:instrText>
      </w:r>
      <w:r w:rsidRPr="008226B6">
        <w:rPr>
          <w:b/>
        </w:rPr>
        <w:fldChar w:fldCharType="separate"/>
      </w:r>
      <w:r w:rsidR="009760DC">
        <w:rPr>
          <w:b/>
          <w:noProof/>
        </w:rPr>
        <w:t>4</w:t>
      </w:r>
      <w:r w:rsidRPr="008226B6">
        <w:rPr>
          <w:b/>
        </w:rPr>
        <w:fldChar w:fldCharType="end"/>
      </w:r>
      <w:bookmarkEnd w:id="3"/>
    </w:p>
    <w:p w:rsidR="00761F33" w:rsidRDefault="00F50C4B" w:rsidP="00761F33">
      <w:pPr>
        <w:jc w:val="center"/>
      </w:pPr>
      <w:r w:rsidRPr="00F50C4B">
        <w:drawing>
          <wp:inline distT="0" distB="0" distL="0" distR="0">
            <wp:extent cx="4182655" cy="2764971"/>
            <wp:effectExtent l="19050" t="0" r="83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4189994" cy="2769822"/>
                    </a:xfrm>
                    <a:prstGeom prst="rect">
                      <a:avLst/>
                    </a:prstGeom>
                    <a:noFill/>
                    <a:ln w="9525">
                      <a:noFill/>
                      <a:miter lim="800000"/>
                      <a:headEnd/>
                      <a:tailEnd/>
                    </a:ln>
                  </pic:spPr>
                </pic:pic>
              </a:graphicData>
            </a:graphic>
          </wp:inline>
        </w:drawing>
      </w:r>
    </w:p>
    <w:p w:rsidR="002726CF" w:rsidRDefault="002726CF" w:rsidP="00761F33">
      <w:pPr>
        <w:jc w:val="center"/>
      </w:pPr>
    </w:p>
    <w:p w:rsidR="00193787" w:rsidRDefault="00193787" w:rsidP="00193787">
      <w:pPr>
        <w:pStyle w:val="ListParagraph"/>
        <w:numPr>
          <w:ilvl w:val="0"/>
          <w:numId w:val="10"/>
        </w:numPr>
      </w:pPr>
      <w:r>
        <w:rPr>
          <w:b/>
        </w:rPr>
        <w:t xml:space="preserve">Cable </w:t>
      </w:r>
      <w:r w:rsidR="00DF2272">
        <w:rPr>
          <w:b/>
        </w:rPr>
        <w:t xml:space="preserve">Shield Performance – </w:t>
      </w:r>
      <w:r w:rsidR="00DF2272">
        <w:t xml:space="preserve">A rough look at the cable shield performance </w:t>
      </w:r>
      <w:r w:rsidR="008226B6">
        <w:t xml:space="preserve">(obtained by connecting or disconnecting the cable shield) </w:t>
      </w:r>
      <w:r w:rsidR="00DF2272">
        <w:t xml:space="preserve">is shown in </w:t>
      </w:r>
      <w:r w:rsidR="00DF2272">
        <w:fldChar w:fldCharType="begin"/>
      </w:r>
      <w:r w:rsidR="00DF2272">
        <w:instrText xml:space="preserve"> REF _Ref292958316 \h </w:instrText>
      </w:r>
      <w:r w:rsidR="00DF2272">
        <w:fldChar w:fldCharType="separate"/>
      </w:r>
      <w:r w:rsidR="009760DC" w:rsidRPr="008226B6">
        <w:rPr>
          <w:b/>
        </w:rPr>
        <w:t>Figure</w:t>
      </w:r>
      <w:r w:rsidR="009760DC">
        <w:t xml:space="preserve"> </w:t>
      </w:r>
      <w:r w:rsidR="009760DC">
        <w:rPr>
          <w:b/>
          <w:noProof/>
        </w:rPr>
        <w:t>5</w:t>
      </w:r>
      <w:r w:rsidR="00DF2272">
        <w:fldChar w:fldCharType="end"/>
      </w:r>
      <w:r w:rsidR="00DF2272">
        <w:t xml:space="preserve">.  The unshielded case is </w:t>
      </w:r>
      <w:r w:rsidR="00DF2272">
        <w:lastRenderedPageBreak/>
        <w:t>just the background noise in the lab.  The noise floor of the shielded case is dominated by the SR785 measurement noise floor, but the peaks at 20</w:t>
      </w:r>
      <w:r w:rsidR="007C5CD2">
        <w:t xml:space="preserve"> </w:t>
      </w:r>
      <w:r w:rsidR="00DF2272">
        <w:t>kHz and beyond provide some insight into the shield performance to ambient noise.  Approximately 45dB or so of shielding can be seen in this crude measurement.</w:t>
      </w:r>
    </w:p>
    <w:p w:rsidR="00193787" w:rsidRDefault="00193787" w:rsidP="00761F33">
      <w:pPr>
        <w:jc w:val="center"/>
      </w:pPr>
    </w:p>
    <w:p w:rsidR="00DF2272" w:rsidRPr="008226B6" w:rsidRDefault="00DF2272" w:rsidP="008226B6">
      <w:pPr>
        <w:ind w:left="360" w:firstLine="360"/>
        <w:jc w:val="center"/>
        <w:rPr>
          <w:b/>
        </w:rPr>
      </w:pPr>
      <w:bookmarkStart w:id="4" w:name="_Ref292958316"/>
      <w:r w:rsidRPr="008226B6">
        <w:rPr>
          <w:b/>
        </w:rPr>
        <w:t>Figure</w:t>
      </w:r>
      <w:r>
        <w:t xml:space="preserve"> </w:t>
      </w:r>
      <w:r w:rsidRPr="008226B6">
        <w:rPr>
          <w:b/>
        </w:rPr>
        <w:fldChar w:fldCharType="begin"/>
      </w:r>
      <w:r w:rsidRPr="008226B6">
        <w:rPr>
          <w:b/>
        </w:rPr>
        <w:instrText xml:space="preserve"> SEQ Figure \* ARABIC </w:instrText>
      </w:r>
      <w:r w:rsidRPr="008226B6">
        <w:rPr>
          <w:b/>
        </w:rPr>
        <w:fldChar w:fldCharType="separate"/>
      </w:r>
      <w:r w:rsidR="009760DC">
        <w:rPr>
          <w:b/>
          <w:noProof/>
        </w:rPr>
        <w:t>5</w:t>
      </w:r>
      <w:r w:rsidRPr="008226B6">
        <w:rPr>
          <w:b/>
        </w:rPr>
        <w:fldChar w:fldCharType="end"/>
      </w:r>
      <w:bookmarkEnd w:id="4"/>
    </w:p>
    <w:p w:rsidR="00193787" w:rsidRDefault="00193787" w:rsidP="00761F33">
      <w:pPr>
        <w:jc w:val="center"/>
      </w:pPr>
      <w:r w:rsidRPr="00193787">
        <w:drawing>
          <wp:inline distT="0" distB="0" distL="0" distR="0">
            <wp:extent cx="4248150" cy="2808264"/>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262805" cy="2817952"/>
                    </a:xfrm>
                    <a:prstGeom prst="rect">
                      <a:avLst/>
                    </a:prstGeom>
                    <a:noFill/>
                    <a:ln w="9525">
                      <a:noFill/>
                      <a:miter lim="800000"/>
                      <a:headEnd/>
                      <a:tailEnd/>
                    </a:ln>
                  </pic:spPr>
                </pic:pic>
              </a:graphicData>
            </a:graphic>
          </wp:inline>
        </w:drawing>
      </w:r>
    </w:p>
    <w:p w:rsidR="007C5CD2" w:rsidRDefault="007C5CD2" w:rsidP="00761F33">
      <w:pPr>
        <w:jc w:val="center"/>
      </w:pPr>
    </w:p>
    <w:p w:rsidR="007C5CD2" w:rsidRDefault="007C5CD2" w:rsidP="007C5CD2">
      <w:pPr>
        <w:pStyle w:val="ListParagraph"/>
        <w:numPr>
          <w:ilvl w:val="0"/>
          <w:numId w:val="10"/>
        </w:numPr>
      </w:pPr>
      <w:r>
        <w:rPr>
          <w:b/>
        </w:rPr>
        <w:t xml:space="preserve">Conclusion – </w:t>
      </w:r>
      <w:r>
        <w:t xml:space="preserve">For aLIGO </w:t>
      </w:r>
      <w:r w:rsidR="00AC697A">
        <w:t xml:space="preserve">audio frequency </w:t>
      </w:r>
      <w:r>
        <w:t>cable runs</w:t>
      </w:r>
      <w:r w:rsidR="009760DC">
        <w:t xml:space="preserve"> at both observatories</w:t>
      </w:r>
      <w:r>
        <w:t>, the crosstalk observed in adjacent twisted pairs is pro</w:t>
      </w:r>
      <w:r w:rsidR="009760DC">
        <w:t>bably acceptable for both cable types</w:t>
      </w:r>
      <w:r>
        <w:t xml:space="preserve"> tested (overall shield and individual shield).  The Alpha Wire 2214C cable is a better choice based on flexibility, availability, cost, weight and ease/cost of termination.  The cable shield performance is comparable in both cables.  The cables tested have a wire size of 22 AWG.  24 AWG cable would be a sensible choice for cables that have little current flowing within.  The performance ou</w:t>
      </w:r>
      <w:r w:rsidR="002E6D9C">
        <w:t>ght to be essentially identical if 22 or 24 wire gauge is the only variable.</w:t>
      </w:r>
    </w:p>
    <w:sectPr w:rsidR="007C5CD2" w:rsidSect="00E050E9">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66" w:rsidRDefault="00745766" w:rsidP="002726CF">
      <w:r>
        <w:separator/>
      </w:r>
    </w:p>
  </w:endnote>
  <w:endnote w:type="continuationSeparator" w:id="0">
    <w:p w:rsidR="00745766" w:rsidRDefault="00745766" w:rsidP="00272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66" w:rsidRDefault="00745766" w:rsidP="002726CF">
      <w:r>
        <w:separator/>
      </w:r>
    </w:p>
  </w:footnote>
  <w:footnote w:type="continuationSeparator" w:id="0">
    <w:p w:rsidR="00745766" w:rsidRDefault="00745766" w:rsidP="00272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81844"/>
      <w:docPartObj>
        <w:docPartGallery w:val="Page Numbers (Top of Page)"/>
        <w:docPartUnique/>
      </w:docPartObj>
    </w:sdtPr>
    <w:sdtContent>
      <w:p w:rsidR="002726CF" w:rsidRDefault="002726CF" w:rsidP="002726CF">
        <w:pPr>
          <w:pStyle w:val="Header"/>
          <w:ind w:firstLine="4320"/>
        </w:pPr>
        <w:r>
          <w:t>T1100264-v1</w:t>
        </w:r>
        <w:r>
          <w:tab/>
        </w:r>
        <w:r>
          <w:tab/>
        </w:r>
        <w:fldSimple w:instr=" PAGE   \* MERGEFORMAT ">
          <w:r w:rsidR="009760DC">
            <w:rPr>
              <w:noProof/>
            </w:rPr>
            <w:t>4</w:t>
          </w:r>
        </w:fldSimple>
      </w:p>
    </w:sdtContent>
  </w:sdt>
  <w:p w:rsidR="002726CF" w:rsidRDefault="00272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68E6"/>
    <w:multiLevelType w:val="hybridMultilevel"/>
    <w:tmpl w:val="F51C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D1850FC"/>
    <w:multiLevelType w:val="hybridMultilevel"/>
    <w:tmpl w:val="16680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22482"/>
    <w:multiLevelType w:val="multilevel"/>
    <w:tmpl w:val="9230E4B6"/>
    <w:lvl w:ilvl="0">
      <w:start w:val="1"/>
      <w:numFmt w:val="decimal"/>
      <w:lvlText w:val="%1."/>
      <w:lvlJc w:val="left"/>
      <w:pPr>
        <w:ind w:left="450" w:hanging="360"/>
      </w:pPr>
      <w:rPr>
        <w:b/>
      </w:rPr>
    </w:lvl>
    <w:lvl w:ilvl="1">
      <w:start w:val="1"/>
      <w:numFmt w:val="decimal"/>
      <w:lvlText w:val="%1.%2."/>
      <w:lvlJc w:val="left"/>
      <w:pPr>
        <w:ind w:left="882" w:hanging="432"/>
      </w:pPr>
      <w:rPr>
        <w:b/>
      </w:r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5">
    <w:nsid w:val="56647E18"/>
    <w:multiLevelType w:val="multilevel"/>
    <w:tmpl w:val="14ECF420"/>
    <w:lvl w:ilvl="0">
      <w:start w:val="1"/>
      <w:numFmt w:val="decimal"/>
      <w:pStyle w:val="Caption"/>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703E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9169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98F2E31"/>
    <w:multiLevelType w:val="multilevel"/>
    <w:tmpl w:val="9230E4B6"/>
    <w:lvl w:ilvl="0">
      <w:start w:val="1"/>
      <w:numFmt w:val="decimal"/>
      <w:lvlText w:val="%1."/>
      <w:lvlJc w:val="left"/>
      <w:pPr>
        <w:ind w:left="450" w:hanging="360"/>
      </w:pPr>
      <w:rPr>
        <w:b/>
      </w:rPr>
    </w:lvl>
    <w:lvl w:ilvl="1">
      <w:start w:val="1"/>
      <w:numFmt w:val="decimal"/>
      <w:lvlText w:val="%1.%2."/>
      <w:lvlJc w:val="left"/>
      <w:pPr>
        <w:ind w:left="882" w:hanging="432"/>
      </w:pPr>
      <w:rPr>
        <w:b/>
      </w:r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9">
    <w:nsid w:val="7E956D75"/>
    <w:multiLevelType w:val="hybridMultilevel"/>
    <w:tmpl w:val="C2442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8"/>
  </w:num>
  <w:num w:numId="6">
    <w:abstractNumId w:val="6"/>
  </w:num>
  <w:num w:numId="7">
    <w:abstractNumId w:val="0"/>
  </w:num>
  <w:num w:numId="8">
    <w:abstractNumId w:val="2"/>
  </w:num>
  <w:num w:numId="9">
    <w:abstractNumId w:val="4"/>
  </w:num>
  <w:num w:numId="10">
    <w:abstractNumId w:val="5"/>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grammar="clean"/>
  <w:defaultTabStop w:val="720"/>
  <w:characterSpacingControl w:val="doNotCompress"/>
  <w:footnotePr>
    <w:footnote w:id="-1"/>
    <w:footnote w:id="0"/>
  </w:footnotePr>
  <w:endnotePr>
    <w:endnote w:id="-1"/>
    <w:endnote w:id="0"/>
  </w:endnotePr>
  <w:compat/>
  <w:rsids>
    <w:rsidRoot w:val="006849E4"/>
    <w:rsid w:val="000D7C96"/>
    <w:rsid w:val="000F66C6"/>
    <w:rsid w:val="00193787"/>
    <w:rsid w:val="001B653A"/>
    <w:rsid w:val="002726CF"/>
    <w:rsid w:val="002A7C65"/>
    <w:rsid w:val="002C32BA"/>
    <w:rsid w:val="002E3BAF"/>
    <w:rsid w:val="002E6D9C"/>
    <w:rsid w:val="00362BDE"/>
    <w:rsid w:val="00364159"/>
    <w:rsid w:val="0037232D"/>
    <w:rsid w:val="00386C8D"/>
    <w:rsid w:val="003B15E9"/>
    <w:rsid w:val="003F54D0"/>
    <w:rsid w:val="00400912"/>
    <w:rsid w:val="00401445"/>
    <w:rsid w:val="004A1772"/>
    <w:rsid w:val="00505794"/>
    <w:rsid w:val="00511333"/>
    <w:rsid w:val="00534E2D"/>
    <w:rsid w:val="0058525D"/>
    <w:rsid w:val="005A56A8"/>
    <w:rsid w:val="00605FF5"/>
    <w:rsid w:val="006849E4"/>
    <w:rsid w:val="00685AD6"/>
    <w:rsid w:val="006B5C97"/>
    <w:rsid w:val="006F26FD"/>
    <w:rsid w:val="00745766"/>
    <w:rsid w:val="00761F33"/>
    <w:rsid w:val="00776058"/>
    <w:rsid w:val="007C5CD2"/>
    <w:rsid w:val="007F416D"/>
    <w:rsid w:val="00820DCD"/>
    <w:rsid w:val="008226B6"/>
    <w:rsid w:val="00892C50"/>
    <w:rsid w:val="00906FB7"/>
    <w:rsid w:val="00932ABA"/>
    <w:rsid w:val="009642A5"/>
    <w:rsid w:val="009760DC"/>
    <w:rsid w:val="009850E5"/>
    <w:rsid w:val="00990E6E"/>
    <w:rsid w:val="009C2A01"/>
    <w:rsid w:val="00A070A9"/>
    <w:rsid w:val="00AC697A"/>
    <w:rsid w:val="00B07E8E"/>
    <w:rsid w:val="00B16149"/>
    <w:rsid w:val="00B543F8"/>
    <w:rsid w:val="00B7106F"/>
    <w:rsid w:val="00B909B0"/>
    <w:rsid w:val="00B94E03"/>
    <w:rsid w:val="00BB6DD8"/>
    <w:rsid w:val="00BC675A"/>
    <w:rsid w:val="00BD45F3"/>
    <w:rsid w:val="00CA559C"/>
    <w:rsid w:val="00CD2634"/>
    <w:rsid w:val="00CF72ED"/>
    <w:rsid w:val="00D670ED"/>
    <w:rsid w:val="00DF2272"/>
    <w:rsid w:val="00E050E9"/>
    <w:rsid w:val="00E05166"/>
    <w:rsid w:val="00E374EA"/>
    <w:rsid w:val="00E44EE0"/>
    <w:rsid w:val="00E714D1"/>
    <w:rsid w:val="00E74588"/>
    <w:rsid w:val="00EC556A"/>
    <w:rsid w:val="00F06F76"/>
    <w:rsid w:val="00F33F4C"/>
    <w:rsid w:val="00F50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E2D"/>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E2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4E2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4E2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4E2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E2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4E2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4E2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4E2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49E4"/>
    <w:pPr>
      <w:ind w:left="720"/>
      <w:contextualSpacing/>
    </w:pPr>
  </w:style>
  <w:style w:type="table" w:styleId="TableGrid">
    <w:name w:val="Table Grid"/>
    <w:basedOn w:val="TableNormal"/>
    <w:uiPriority w:val="59"/>
    <w:rsid w:val="002A7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nhideWhenUsed/>
    <w:qFormat/>
    <w:rsid w:val="008226B6"/>
    <w:pPr>
      <w:keepNext/>
      <w:numPr>
        <w:numId w:val="10"/>
      </w:numPr>
      <w:spacing w:after="200"/>
      <w:jc w:val="center"/>
    </w:pPr>
    <w:rPr>
      <w:b/>
      <w:bCs/>
      <w:color w:val="000000" w:themeColor="text1"/>
      <w:szCs w:val="18"/>
    </w:rPr>
  </w:style>
  <w:style w:type="paragraph" w:styleId="BalloonText">
    <w:name w:val="Balloon Text"/>
    <w:basedOn w:val="Normal"/>
    <w:link w:val="BalloonTextChar"/>
    <w:uiPriority w:val="99"/>
    <w:semiHidden/>
    <w:unhideWhenUsed/>
    <w:rsid w:val="00E374EA"/>
    <w:rPr>
      <w:rFonts w:ascii="Tahoma" w:hAnsi="Tahoma" w:cs="Tahoma"/>
      <w:sz w:val="16"/>
      <w:szCs w:val="16"/>
    </w:rPr>
  </w:style>
  <w:style w:type="character" w:customStyle="1" w:styleId="BalloonTextChar">
    <w:name w:val="Balloon Text Char"/>
    <w:basedOn w:val="DefaultParagraphFont"/>
    <w:link w:val="BalloonText"/>
    <w:uiPriority w:val="99"/>
    <w:semiHidden/>
    <w:rsid w:val="00E374EA"/>
    <w:rPr>
      <w:rFonts w:ascii="Tahoma" w:eastAsia="Times New Roman" w:hAnsi="Tahoma" w:cs="Tahoma"/>
      <w:sz w:val="16"/>
      <w:szCs w:val="16"/>
    </w:rPr>
  </w:style>
  <w:style w:type="character" w:customStyle="1" w:styleId="Heading1Char">
    <w:name w:val="Heading 1 Char"/>
    <w:basedOn w:val="DefaultParagraphFont"/>
    <w:link w:val="Heading1"/>
    <w:uiPriority w:val="9"/>
    <w:rsid w:val="00534E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E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4E2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34E2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34E2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34E2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34E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34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4E2D"/>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3B15E9"/>
    <w:rPr>
      <w:rFonts w:ascii="Tahoma" w:hAnsi="Tahoma" w:cs="Tahoma"/>
      <w:sz w:val="16"/>
      <w:szCs w:val="16"/>
    </w:rPr>
  </w:style>
  <w:style w:type="character" w:customStyle="1" w:styleId="DocumentMapChar">
    <w:name w:val="Document Map Char"/>
    <w:basedOn w:val="DefaultParagraphFont"/>
    <w:link w:val="DocumentMap"/>
    <w:uiPriority w:val="99"/>
    <w:semiHidden/>
    <w:rsid w:val="003B15E9"/>
    <w:rPr>
      <w:rFonts w:ascii="Tahoma" w:eastAsia="Times New Roman" w:hAnsi="Tahoma" w:cs="Tahoma"/>
      <w:sz w:val="16"/>
      <w:szCs w:val="16"/>
    </w:rPr>
  </w:style>
  <w:style w:type="paragraph" w:styleId="PlainText">
    <w:name w:val="Plain Text"/>
    <w:basedOn w:val="Normal"/>
    <w:link w:val="PlainTextChar"/>
    <w:rsid w:val="002E3BAF"/>
    <w:pPr>
      <w:spacing w:before="120"/>
      <w:jc w:val="both"/>
    </w:pPr>
    <w:rPr>
      <w:szCs w:val="20"/>
    </w:rPr>
  </w:style>
  <w:style w:type="character" w:customStyle="1" w:styleId="PlainTextChar">
    <w:name w:val="Plain Text Char"/>
    <w:basedOn w:val="DefaultParagraphFont"/>
    <w:link w:val="PlainText"/>
    <w:rsid w:val="002E3BAF"/>
    <w:rPr>
      <w:rFonts w:ascii="Times New Roman" w:eastAsia="Times New Roman" w:hAnsi="Times New Roman" w:cs="Times New Roman"/>
      <w:sz w:val="24"/>
      <w:szCs w:val="20"/>
    </w:rPr>
  </w:style>
  <w:style w:type="paragraph" w:styleId="ListBullet">
    <w:name w:val="List Bullet"/>
    <w:basedOn w:val="Normal"/>
    <w:autoRedefine/>
    <w:rsid w:val="002E3BAF"/>
    <w:pPr>
      <w:numPr>
        <w:numId w:val="7"/>
      </w:numPr>
      <w:spacing w:before="120"/>
      <w:jc w:val="both"/>
    </w:pPr>
    <w:rPr>
      <w:szCs w:val="20"/>
    </w:rPr>
  </w:style>
  <w:style w:type="character" w:styleId="Hyperlink">
    <w:name w:val="Hyperlink"/>
    <w:basedOn w:val="DefaultParagraphFont"/>
    <w:rsid w:val="002E3BAF"/>
    <w:rPr>
      <w:color w:val="0000FF"/>
      <w:u w:val="single"/>
    </w:rPr>
  </w:style>
  <w:style w:type="paragraph" w:styleId="Header">
    <w:name w:val="header"/>
    <w:basedOn w:val="Normal"/>
    <w:link w:val="HeaderChar"/>
    <w:uiPriority w:val="99"/>
    <w:unhideWhenUsed/>
    <w:rsid w:val="002726CF"/>
    <w:pPr>
      <w:tabs>
        <w:tab w:val="center" w:pos="4680"/>
        <w:tab w:val="right" w:pos="9360"/>
      </w:tabs>
    </w:pPr>
  </w:style>
  <w:style w:type="character" w:customStyle="1" w:styleId="HeaderChar">
    <w:name w:val="Header Char"/>
    <w:basedOn w:val="DefaultParagraphFont"/>
    <w:link w:val="Header"/>
    <w:uiPriority w:val="99"/>
    <w:rsid w:val="002726C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26CF"/>
    <w:pPr>
      <w:tabs>
        <w:tab w:val="center" w:pos="4680"/>
        <w:tab w:val="right" w:pos="9360"/>
      </w:tabs>
    </w:pPr>
  </w:style>
  <w:style w:type="character" w:customStyle="1" w:styleId="FooterChar">
    <w:name w:val="Footer Char"/>
    <w:basedOn w:val="DefaultParagraphFont"/>
    <w:link w:val="Footer"/>
    <w:uiPriority w:val="99"/>
    <w:semiHidden/>
    <w:rsid w:val="002726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44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Ligo</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Abbott</dc:creator>
  <cp:keywords/>
  <dc:description/>
  <cp:lastModifiedBy>Richard Abbott</cp:lastModifiedBy>
  <cp:revision>13</cp:revision>
  <cp:lastPrinted>2011-05-12T18:04:00Z</cp:lastPrinted>
  <dcterms:created xsi:type="dcterms:W3CDTF">2011-05-11T23:09:00Z</dcterms:created>
  <dcterms:modified xsi:type="dcterms:W3CDTF">2011-05-12T18:06:00Z</dcterms:modified>
</cp:coreProperties>
</file>